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Roofline: An Insightful Visual Performance Model for Floating-Point Programs and Multicore Architectures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seminal paper proposes the roofline model, a visual framework that bridges the gap between software optimization and hardware capability. By plotting attainable floating-point performance against arithmetic intensity, the model provides a clear visual indicator of whether a kernel is compute-bound or memory-bound. The paper demonstrates the model's usefulness by analyzing various kernels on multicore architectures, effectively showing how the ridge point defines the architectural balance between memory bandwidth and computational throughput.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model transforms complex, multi-variable performance metrics into a simple graph. The roofline concept directly guides programmers on which type of optimizations are most likely to yield performance improvements.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Weakness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By using peak bandwidth and peak compute as the primary bounds, the model can sometimes be overly simplified by ignoring the overheads of complex cache hierarchies and out-of-order execution.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the case of AI accelerators, many pipelines are heterogeneous and rely on a mixture of communications, e.g., device-to-device, device-to-host, host-to-device, etc. How does the roofline model capture the bottleneck of this type of system?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