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Performance Counter Architecture for Computing Accurate CPI Components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paper addresses a fundamental challenge of accurately computing CPI on superscalar architectures. The proposed interval analysis effectively tracks stalls by distinguishing between memory-related latency, pipeline-related contention, and front-end limitations, providing an accurate CPI stack that allows people to see exactly where clock cycles are being lost.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proposed model provides a mathematically sound way to resolve the attribution problem inherent in concurrent, multi-issue hardware.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categorization of miss events is relatively narrow, which may leave gaps in diagnostic coverage for more sophisticated microarchitectural features.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Given that modern OoO cores utilize increasingly speculative execution and sophisticated resource-sharing techniques like SMT, would this static interval-based methodology remain accurate?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