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Rating: Strong accept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Summary: This paper presents a possible paradigm to integrate AI and hardware research synergistically. It opens by stating that hardware and AI research are often not working with the same information, as AI researchers attempt to create models on older hardware and hardware researchers design chips based on older models. It suggests that research be split into 3 abstraction layers: a “hardware layer” that prioritizes memory efficiency and novel computational methods over scaling compute, an “algorithm layer” that emphasizes awareness of the hardware in AI design, and an “application layer” that ensures these new capabilities are directed towards genuinely helpful and sustainable ends. It then covers a variety of advanced technologies and algorithms that can be used to accelerate AI development in the future in a sustainable manner, followed by a vision of AI as a positive, societally-impactful force. Each section is capped by a subsection about what “success” looks like in that area, with suggestions on the roles that academia, industry, the government, and the community can play in achieving that success.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Strengths:</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Provides thorough overview of relevant content</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Introduces a variety of relevant technologies, useful towards the goal of integrating research efforts</w:t>
      </w:r>
    </w:p>
    <w:p w:rsidR="00000000" w:rsidDel="00000000" w:rsidP="00000000" w:rsidRDefault="00000000" w:rsidRPr="00000000" w14:paraId="00000008">
      <w:pPr>
        <w:rPr/>
      </w:pPr>
      <w:r w:rsidDel="00000000" w:rsidR="00000000" w:rsidRPr="00000000">
        <w:rPr>
          <w:rtl w:val="0"/>
        </w:rPr>
        <w:t xml:space="preserve">Weaknesses:</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Nitpick: long-winded, somewhat repetitive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Detailed comments:</w:t>
        <w:br w:type="textWrapping"/>
      </w:r>
    </w:p>
    <w:p w:rsidR="00000000" w:rsidDel="00000000" w:rsidP="00000000" w:rsidRDefault="00000000" w:rsidRPr="00000000" w14:paraId="0000000C">
      <w:pPr>
        <w:rPr/>
      </w:pPr>
      <w:r w:rsidDel="00000000" w:rsidR="00000000" w:rsidRPr="00000000">
        <w:rPr>
          <w:rtl w:val="0"/>
        </w:rPr>
        <w:t xml:space="preserve">This paper does a good job, in my view, of charting a path towards the future of AI and hardware research. It’s extremely comprehensive, and as someone who doesn’t know all the details of these fields, it provides directions that it encourages me to look further into. Considering the goal of this paper is to unify research efforts between hardware and AI, I believe this contributes strongly to its strength.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also appreciate that the paper provides concrete suggestions for each relevant group of researchers to achieve its goals. This paper serves as a call to action, and it proposes measurable outcomes that can be used to determine whether or not the types of success it proposes have been achieved. These clear criteria make it much easier for researchers and policymakers to follow the guidance laid out in the paper to further advance AI and hardware research.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Questions: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The paper strongly emphasizes “AI-in-the-loop” development. How confident can we be that AI can build upon its own hardware designs to create feasible, realistic architectures?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