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Merit:</w:t>
      </w:r>
      <w:r w:rsidDel="00000000" w:rsidR="00000000" w:rsidRPr="00000000">
        <w:rPr>
          <w:rFonts w:ascii="Times New Roman" w:cs="Times New Roman" w:eastAsia="Times New Roman" w:hAnsi="Times New Roman"/>
          <w:sz w:val="24"/>
          <w:szCs w:val="24"/>
          <w:rtl w:val="0"/>
        </w:rPr>
        <w:br w:type="textWrapping"/>
        <w:t xml:space="preserve">Weak Reject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trike w:val="1"/>
          <w:sz w:val="24"/>
          <w:szCs w:val="24"/>
          <w:rtl w:val="0"/>
        </w:rPr>
        <w:t xml:space="preserve">Executive</w:t>
      </w:r>
      <w:r w:rsidDel="00000000" w:rsidR="00000000" w:rsidRPr="00000000">
        <w:rPr>
          <w:rFonts w:ascii="Times New Roman" w:cs="Times New Roman" w:eastAsia="Times New Roman" w:hAnsi="Times New Roman"/>
          <w:b w:val="1"/>
          <w:bCs w:val="1"/>
          <w:sz w:val="24"/>
          <w:szCs w:val="24"/>
          <w:rtl w:val="0"/>
        </w:rPr>
        <w:t xml:space="preserve"> Summary: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 coming. We can and should integrate it into the hardware and software stack to create a feedback loop. This feedback loop must span the entire computing stack and computing systems must be codesigned across the entire stack.</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that co-design will be key to the AIHW future.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does a fantastic job of being a paper which will be cited by its own authors for years, when they are </w:t>
      </w:r>
      <w:r w:rsidDel="00000000" w:rsidR="00000000" w:rsidRPr="00000000">
        <w:rPr>
          <w:rFonts w:ascii="Times New Roman" w:cs="Times New Roman" w:eastAsia="Times New Roman" w:hAnsi="Times New Roman"/>
          <w:i w:val="1"/>
          <w:iCs w:val="1"/>
          <w:sz w:val="24"/>
          <w:szCs w:val="24"/>
          <w:rtl w:val="0"/>
        </w:rPr>
        <w:t xml:space="preserve">motivating</w:t>
      </w:r>
      <w:r w:rsidDel="00000000" w:rsidR="00000000" w:rsidRPr="00000000">
        <w:rPr>
          <w:rFonts w:ascii="Times New Roman" w:cs="Times New Roman" w:eastAsia="Times New Roman" w:hAnsi="Times New Roman"/>
          <w:i w:val="1"/>
          <w:iCs w:val="1"/>
          <w:sz w:val="24"/>
          <w:szCs w:val="24"/>
          <w:rtl w:val="0"/>
        </w:rPr>
        <w:t xml:space="preserve"> that the things they are working on are important in grant proposals and research papers.</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hardware side, the next generation of AI computing platforms will be built on heterogeneous, memory-centric architectures that integrate AI accelerators, programmable fabrics, and quantum processors through scalable, low-latency interconnects.”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 won’t be.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an AI generated </w:t>
      </w:r>
      <w:r w:rsidDel="00000000" w:rsidR="00000000" w:rsidRPr="00000000">
        <w:rPr>
          <w:rFonts w:ascii="Times New Roman" w:cs="Times New Roman" w:eastAsia="Times New Roman" w:hAnsi="Times New Roman"/>
          <w:b w:val="1"/>
          <w:bCs w:val="1"/>
          <w:i w:val="1"/>
          <w:iCs w:val="1"/>
          <w:sz w:val="24"/>
          <w:szCs w:val="24"/>
          <w:u w:val="single"/>
          <w:rtl w:val="0"/>
        </w:rPr>
        <w:t xml:space="preserve">executive</w:t>
      </w:r>
      <w:r w:rsidDel="00000000" w:rsidR="00000000" w:rsidRPr="00000000">
        <w:rPr>
          <w:rFonts w:ascii="Times New Roman" w:cs="Times New Roman" w:eastAsia="Times New Roman" w:hAnsi="Times New Roman"/>
          <w:sz w:val="24"/>
          <w:szCs w:val="24"/>
          <w:rtl w:val="0"/>
        </w:rPr>
        <w:t xml:space="preserve"> summary is a major mistake. The summary maximizes content density rather than understandability, whereas the point of an introduction should be to highlight the key points and trends that the authors see. Most people who open this document </w:t>
      </w:r>
      <w:r w:rsidDel="00000000" w:rsidR="00000000" w:rsidRPr="00000000">
        <w:rPr>
          <w:rFonts w:ascii="Times New Roman" w:cs="Times New Roman" w:eastAsia="Times New Roman" w:hAnsi="Times New Roman"/>
          <w:i w:val="1"/>
          <w:iCs w:val="1"/>
          <w:sz w:val="24"/>
          <w:szCs w:val="24"/>
          <w:rtl w:val="0"/>
        </w:rPr>
        <w:t xml:space="preserve">will only read the executive summary</w:t>
      </w:r>
      <w:r w:rsidDel="00000000" w:rsidR="00000000" w:rsidRPr="00000000">
        <w:rPr>
          <w:rFonts w:ascii="Times New Roman" w:cs="Times New Roman" w:eastAsia="Times New Roman" w:hAnsi="Times New Roman"/>
          <w:sz w:val="24"/>
          <w:szCs w:val="24"/>
          <w:rtl w:val="0"/>
        </w:rPr>
        <w:t xml:space="preserve">—whereas it’s not clear to me that the authors read the executive summary.</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and proposed future is quite vague in its presented breadth. Having a complex, sweeping vision for the future is only as helpful as your ability to distill it down into a comprehensible pitch and a set of sub-components people can understand and interactions between them.</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it feels like the author’s goal when writing this was to highlight the breadth, rather than provide evidence that their vision is well-motivated and actionable.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on language: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paper is written as a list of lists. It </w:t>
      </w:r>
      <w:r w:rsidDel="00000000" w:rsidR="00000000" w:rsidRPr="00000000">
        <w:rPr>
          <w:rFonts w:ascii="Times New Roman" w:cs="Times New Roman" w:eastAsia="Times New Roman" w:hAnsi="Times New Roman"/>
          <w:sz w:val="24"/>
          <w:szCs w:val="24"/>
          <w:rtl w:val="0"/>
        </w:rPr>
        <w:t xml:space="preserve">exposits</w:t>
      </w:r>
      <w:r w:rsidDel="00000000" w:rsidR="00000000" w:rsidRPr="00000000">
        <w:rPr>
          <w:rFonts w:ascii="Times New Roman" w:cs="Times New Roman" w:eastAsia="Times New Roman" w:hAnsi="Times New Roman"/>
          <w:sz w:val="24"/>
          <w:szCs w:val="24"/>
          <w:rtl w:val="0"/>
        </w:rPr>
        <w:t xml:space="preserve"> primarily in</w:t>
      </w:r>
      <w:r w:rsidDel="00000000" w:rsidR="00000000" w:rsidRPr="00000000">
        <w:rPr>
          <w:rFonts w:ascii="Times New Roman" w:cs="Times New Roman" w:eastAsia="Times New Roman" w:hAnsi="Times New Roman"/>
          <w:sz w:val="24"/>
          <w:szCs w:val="24"/>
          <w:rtl w:val="0"/>
        </w:rPr>
        <w:t xml:space="preserve"> adjectives instead of nouns and verbs.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freedom with which the (likely non-human) writer moves from one topic to another throughout the executive summary and section 1 is stunning. I have metaphorical whiplash.</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Nits: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after a section called “Background and Motivation” your next section’s heading begins with “the case for”, you’ve clearly introduced a redundancy.</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AI must no longer be defined by more compute, but by better compute.” This is a bad sentence because it reads like a cliche (e.g. “work smarter not harder”), without bringing the ethos of a cliche as conventional wisdom.</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“System-level constraints have become the primary limiting factors” and then right after “Data movement has become the primary bottleneck”. Which is it?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Key Questions and Answers” Why?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why are we talking about quantum co-processors? I’d bet the house that there will be nothing resembling a useful quantum co-processor before 2035, </w:t>
      </w:r>
      <w:r w:rsidDel="00000000" w:rsidR="00000000" w:rsidRPr="00000000">
        <w:rPr>
          <w:rFonts w:ascii="Times New Roman" w:cs="Times New Roman" w:eastAsia="Times New Roman" w:hAnsi="Times New Roman"/>
          <w:i w:val="1"/>
          <w:iCs w:val="1"/>
          <w:sz w:val="24"/>
          <w:szCs w:val="24"/>
          <w:rtl w:val="0"/>
        </w:rPr>
        <w:t xml:space="preserve">and if there was there is still nothing for it to do except break encryption and theoretically but not in practice search databases a little bit faster which we probably won’t even have it do.</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