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Overall Merit: Weak Accept</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Summary</w:t>
      </w:r>
      <w:r w:rsidDel="00000000" w:rsidR="00000000" w:rsidRPr="00000000">
        <w:rPr>
          <w:rFonts w:ascii="Times New Roman" w:cs="Times New Roman" w:eastAsia="Times New Roman" w:hAnsi="Times New Roman"/>
          <w:sz w:val="26"/>
          <w:szCs w:val="26"/>
          <w:rtl w:val="0"/>
        </w:rPr>
        <w:br w:type="textWrapping"/>
        <w:t xml:space="preserve">This paper is a vision paper about the next decade of AI and hardware development. Its main claim is that the future of AI cannot depend only on scaling compute, because energy, memory bandwidth, and data movement have become major bottlenecks. The authors argue that progress should come from AI+HW co-design across the full stack, including models, hardware architectures, systems, and applications. The paper’s main contribution is a broad roadmap rather than a single technical result: it lays out key directions such as memory-centric design, 3D integration, AI-driven hardware design, and more efficient, hardware-aware AI models.</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Strengths</w:t>
      </w:r>
      <w:r w:rsidDel="00000000" w:rsidR="00000000" w:rsidRPr="00000000">
        <w:rPr>
          <w:rFonts w:ascii="Times New Roman" w:cs="Times New Roman" w:eastAsia="Times New Roman" w:hAnsi="Times New Roman"/>
          <w:sz w:val="26"/>
          <w:szCs w:val="26"/>
          <w:rtl w:val="0"/>
        </w:rPr>
        <w:br w:type="textWrapping"/>
        <w:t xml:space="preserve">Clear argument that AI scaling is now limited by system efficiency, not just raw compute</w:t>
        <w:br w:type="textWrapping"/>
        <w:t xml:space="preserve">Strong cross-layer perspective connecting hardware, algorithms, and applications</w:t>
        <w:br w:type="textWrapping"/>
        <w:t xml:space="preserve">Ambitious and forward-looking roadmap for the field</w:t>
        <w:br w:type="textWrapping"/>
        <w:t xml:space="preserve">Good job framing efficiency as a central goal rather than a secondary concern</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Weaknesses</w:t>
      </w:r>
      <w:r w:rsidDel="00000000" w:rsidR="00000000" w:rsidRPr="00000000">
        <w:rPr>
          <w:rFonts w:ascii="Times New Roman" w:cs="Times New Roman" w:eastAsia="Times New Roman" w:hAnsi="Times New Roman"/>
          <w:sz w:val="26"/>
          <w:szCs w:val="26"/>
          <w:rtl w:val="0"/>
        </w:rPr>
        <w:br w:type="textWrapping"/>
        <w:t xml:space="preserve">Very high-level, with limited technical depth in most sections</w:t>
        <w:br w:type="textWrapping"/>
        <w:t xml:space="preserve">Covers many topics, but some feel more listed than fully developed</w:t>
        <w:br w:type="textWrapping"/>
        <w:t xml:space="preserve">The 1000× efficiency goal is interesting but not strongly justified</w:t>
        <w:br w:type="textWrapping"/>
        <w:t xml:space="preserve">Reads more like a position paper than a deeply argued research paper</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Comments</w:t>
      </w:r>
      <w:r w:rsidDel="00000000" w:rsidR="00000000" w:rsidRPr="00000000">
        <w:rPr>
          <w:rFonts w:ascii="Times New Roman" w:cs="Times New Roman" w:eastAsia="Times New Roman" w:hAnsi="Times New Roman"/>
          <w:sz w:val="26"/>
          <w:szCs w:val="26"/>
          <w:rtl w:val="0"/>
        </w:rPr>
        <w:br w:type="textWrapping"/>
        <w:t xml:space="preserve">This paper is most interesting when it argues that AI progress should no longer be judged mainly by model size or compute scale. Its strongest point is that future limits are increasingly about energy, memory movement, and infrastructure, which makes hardware and systems much more central than before. In that sense, the paper gives a useful correction to the common idea that better AI only comes from bigger models.</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the same time, the paper is much stronger as a roadmap than as a technical argument. It introduces many promising directions, but often does not spend enough time explaining which ones are most realistic or most urgent. Because of that, the paper feels insightful and important, but also somewhat broad and uneven.</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Discussion Points</w:t>
      </w:r>
      <w:r w:rsidDel="00000000" w:rsidR="00000000" w:rsidRPr="00000000">
        <w:rPr>
          <w:rFonts w:ascii="Times New Roman" w:cs="Times New Roman" w:eastAsia="Times New Roman" w:hAnsi="Times New Roman"/>
          <w:sz w:val="26"/>
          <w:szCs w:val="26"/>
          <w:rtl w:val="0"/>
        </w:rPr>
        <w:br w:type="textWrapping"/>
        <w:t xml:space="preserve">Is efficiency really going to become the main metric for AI progress, or will raw capability still dominate in practice?</w:t>
        <w:br w:type="textWrapping"/>
        <w:t xml:space="preserve">How realistic is cross-layer co-design when AI and hardware research move at very different speeds?</w:t>
        <w:br w:type="textWrapping"/>
        <w:t xml:space="preserve">Can the future described in this paper remain open and inclusive if advanced hardware stays concentrated in a small number of companies?</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