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AI + HW</w:t>
      </w:r>
    </w:p>
    <w:p w:rsidR="00000000" w:rsidDel="00000000" w:rsidP="00000000" w:rsidRDefault="00000000" w:rsidRPr="00000000" w14:paraId="00000002">
      <w:pPr>
        <w:spacing w:after="240" w:before="240" w:lineRule="auto"/>
        <w:rPr/>
      </w:pPr>
      <w:r w:rsidDel="00000000" w:rsidR="00000000" w:rsidRPr="00000000">
        <w:rPr>
          <w:rtl w:val="0"/>
        </w:rPr>
        <w:t xml:space="preserve">Accept</w:t>
      </w:r>
    </w:p>
    <w:p w:rsidR="00000000" w:rsidDel="00000000" w:rsidP="00000000" w:rsidRDefault="00000000" w:rsidRPr="00000000" w14:paraId="00000003">
      <w:pPr>
        <w:spacing w:after="240" w:before="240" w:lineRule="auto"/>
        <w:rPr/>
      </w:pPr>
      <w:r w:rsidDel="00000000" w:rsidR="00000000" w:rsidRPr="00000000">
        <w:rPr>
          <w:rtl w:val="0"/>
        </w:rPr>
        <w:t xml:space="preserve">Summary:</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This vision paper provides a comprehensive 10-year roadmap for the co-design and co-development of Artificial Intelligence (AI) and Hardware (HW). The authors argue that the current trajectory of scaling AI models is unsustainable due to escalating energy footprints and the "memory wall" bottleneck. To address this, they propose a paradigm shift where success is measured by "intelligence per joule"—defined as meaningful capability per unit of energy—rather than raw FLOPs or model size. The roadmap spans three integrated layers: Hardware Technologies, Algorithms and Paradigm and Applications and Societal Impact。</w:t>
      </w:r>
    </w:p>
    <w:p w:rsidR="00000000" w:rsidDel="00000000" w:rsidP="00000000" w:rsidRDefault="00000000" w:rsidRPr="00000000" w14:paraId="00000005">
      <w:pPr>
        <w:spacing w:after="240" w:before="240" w:lineRule="auto"/>
        <w:rPr/>
      </w:pPr>
      <w:r w:rsidDel="00000000" w:rsidR="00000000" w:rsidRPr="00000000">
        <w:rPr>
          <w:rtl w:val="0"/>
        </w:rPr>
        <w:t xml:space="preserve">Strength:</w:t>
      </w:r>
    </w:p>
    <w:p w:rsidR="00000000" w:rsidDel="00000000" w:rsidP="00000000" w:rsidRDefault="00000000" w:rsidRPr="00000000" w14:paraId="00000006">
      <w:pPr>
        <w:spacing w:after="240" w:before="240" w:lineRule="auto"/>
        <w:rPr/>
      </w:pPr>
      <w:r w:rsidDel="00000000" w:rsidR="00000000" w:rsidRPr="00000000">
        <w:rPr>
          <w:rtl w:val="0"/>
        </w:rPr>
        <w:t xml:space="preserve">It mentions a lot of current limitations of the system and provides a lot of potential solution and development guides for the issues.</w:t>
      </w:r>
    </w:p>
    <w:p w:rsidR="00000000" w:rsidDel="00000000" w:rsidP="00000000" w:rsidRDefault="00000000" w:rsidRPr="00000000" w14:paraId="00000007">
      <w:pPr>
        <w:spacing w:after="240" w:before="240" w:lineRule="auto"/>
        <w:rPr/>
      </w:pPr>
      <w:r w:rsidDel="00000000" w:rsidR="00000000" w:rsidRPr="00000000">
        <w:rPr>
          <w:rtl w:val="0"/>
        </w:rPr>
        <w:t xml:space="preserve">The paper effectively bridges the gap between AI + HW.</w:t>
      </w:r>
    </w:p>
    <w:p w:rsidR="00000000" w:rsidDel="00000000" w:rsidP="00000000" w:rsidRDefault="00000000" w:rsidRPr="00000000" w14:paraId="00000008">
      <w:pPr>
        <w:spacing w:after="240" w:before="240" w:lineRule="auto"/>
        <w:rPr/>
      </w:pPr>
      <w:r w:rsidDel="00000000" w:rsidR="00000000" w:rsidRPr="00000000">
        <w:rPr>
          <w:rtl w:val="0"/>
        </w:rPr>
        <w:t xml:space="preserve">Weaknesses:</w:t>
      </w:r>
    </w:p>
    <w:p w:rsidR="00000000" w:rsidDel="00000000" w:rsidP="00000000" w:rsidRDefault="00000000" w:rsidRPr="00000000" w14:paraId="00000009">
      <w:pPr>
        <w:spacing w:after="240" w:before="240" w:lineRule="auto"/>
        <w:rPr/>
      </w:pPr>
      <w:r w:rsidDel="00000000" w:rsidR="00000000" w:rsidRPr="00000000">
        <w:rPr>
          <w:rtl w:val="0"/>
        </w:rPr>
        <w:t xml:space="preserve">A 1000x improvement in training and inference efficiency is extremely ambitious and relies on perfect speedups across multiple aspects.</w:t>
      </w:r>
    </w:p>
    <w:p w:rsidR="00000000" w:rsidDel="00000000" w:rsidP="00000000" w:rsidRDefault="00000000" w:rsidRPr="00000000" w14:paraId="0000000A">
      <w:pPr>
        <w:spacing w:after="240" w:before="240" w:lineRule="auto"/>
        <w:rPr/>
      </w:pPr>
      <w:r w:rsidDel="00000000" w:rsidR="00000000" w:rsidRPr="00000000">
        <w:rPr>
          <w:rtl w:val="0"/>
        </w:rPr>
        <w:t xml:space="preserve">Comments:</w:t>
      </w:r>
    </w:p>
    <w:p w:rsidR="00000000" w:rsidDel="00000000" w:rsidP="00000000" w:rsidRDefault="00000000" w:rsidRPr="00000000" w14:paraId="0000000B">
      <w:pPr>
        <w:spacing w:after="240" w:before="240" w:lineRule="auto"/>
        <w:rPr/>
      </w:pPr>
      <w:r w:rsidDel="00000000" w:rsidR="00000000" w:rsidRPr="00000000">
        <w:rPr>
          <w:rtl w:val="0"/>
        </w:rPr>
        <w:t xml:space="preserve">The paper presents a timely and ambitious roadmap for the co-design of AI and hardware, successfully arguing that the industry must shift its primary metric from raw FLOPs to "intelligence per joule" to overcome current energy and memory bottlenecks. By proposing a holistic ecosystem that integrates 3D monolithic packaging, compute-in-memory architectures, and hardware-aware algorithmic sparsity, the authors provide a technically grounded path toward a 1000x efficiency improvement. While the 10-year goals are exceptionally bold, the document serves as a critical call to action for cross-layer synergy, particularly in its emphasis on "Physical AI," where reliability and efficiency are as paramount as model accuracy.</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