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Overall Merit:</w:t>
      </w:r>
      <w:r w:rsidDel="00000000" w:rsidR="00000000" w:rsidRPr="00000000">
        <w:rPr>
          <w:rtl w:val="0"/>
        </w:rPr>
        <w:t xml:space="preserve"> Reject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In this paper the authors present a vision for the next decade of AI+HW co-design. Their main argument is that future progress in AI should not be measured by raw scaling alone, but by efficiency, adaptability and tighter co-evolution between algorithms, hardware and systems. To support this view, they organize the paper around several broad axes, including memory-centric architectures, heterogeneous integration, AI-driven hardware design, physical AI, and coordinated academia–industry–government action. The paper tries to cover the full stack, from devices and packaging all the way up to applications and societal impact.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04">
      <w:pPr>
        <w:numPr>
          <w:ilvl w:val="0"/>
          <w:numId w:val="1"/>
        </w:numPr>
        <w:spacing w:after="240" w:before="240" w:lineRule="auto"/>
        <w:ind w:left="720" w:hanging="360"/>
        <w:rPr>
          <w:color w:val="000000"/>
        </w:rPr>
      </w:pPr>
      <w:r w:rsidDel="00000000" w:rsidR="00000000" w:rsidRPr="00000000">
        <w:rPr>
          <w:rtl w:val="0"/>
        </w:rPr>
        <w:t xml:space="preserve">The paper raises a timely and important problem regarding the growing mismatch between AI progress and hardware/system evolution.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06">
      <w:pPr>
        <w:numPr>
          <w:ilvl w:val="0"/>
          <w:numId w:val="2"/>
        </w:numPr>
        <w:spacing w:after="240" w:before="240" w:lineRule="auto"/>
        <w:ind w:left="720" w:hanging="360"/>
        <w:rPr>
          <w:color w:val="000000"/>
        </w:rPr>
      </w:pPr>
      <w:r w:rsidDel="00000000" w:rsidR="00000000" w:rsidRPr="00000000">
        <w:rPr>
          <w:rtl w:val="0"/>
        </w:rPr>
        <w:t xml:space="preserve">The paper contains almost no technical depth and provides very little evidence to support its many broad claims. </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008">
      <w:pPr>
        <w:spacing w:after="240" w:before="240" w:lineRule="auto"/>
        <w:rPr/>
      </w:pPr>
      <w:r w:rsidDel="00000000" w:rsidR="00000000" w:rsidRPr="00000000">
        <w:rPr>
          <w:rtl w:val="0"/>
        </w:rPr>
        <w:t xml:space="preserve">My main issue with the paper is that it remains almost entirely at the level of broad claims and directions, with essentially no real technical substance behind them. The authors repeatedly make ambitious statements about 1000× efficiency gains, future system organization, and the need for new abstractions, but they provide almost no evidence, analysis, or concrete methodology to support these claims. Even the few quantitative-looking parts, such as the projected plots relating model size, accuracy and time, are not grounded with enough detail to make them convincing. While</w:t>
      </w:r>
      <w:r w:rsidDel="00000000" w:rsidR="00000000" w:rsidRPr="00000000">
        <w:rPr>
          <w:b w:val="1"/>
          <w:bCs w:val="1"/>
          <w:rtl w:val="0"/>
        </w:rPr>
        <w:t xml:space="preserve"> </w:t>
      </w:r>
      <w:r w:rsidDel="00000000" w:rsidR="00000000" w:rsidRPr="00000000">
        <w:rPr>
          <w:rtl w:val="0"/>
        </w:rPr>
        <w:t xml:space="preserve">I do think the authors are pointing at a real and extremely pressing issue,  I think it still lacks a more defined direction or support for its statements.</w:t>
      </w:r>
    </w:p>
    <w:p w:rsidR="00000000" w:rsidDel="00000000" w:rsidP="00000000" w:rsidRDefault="00000000" w:rsidRPr="00000000" w14:paraId="00000009">
      <w:pPr>
        <w:spacing w:after="240" w:before="240" w:lineRule="auto"/>
        <w:rPr/>
      </w:pPr>
      <w:r w:rsidDel="00000000" w:rsidR="00000000" w:rsidRPr="00000000">
        <w:rPr>
          <w:rtl w:val="0"/>
        </w:rPr>
        <w:t xml:space="preserve">I was specially unconvinced by the way the paper presents some of its stronger claims. If the authors want to argue for targets such as 1000× efficiency improvements, or introduce projected trends over time, accuracy and model size, then I would expect a clear and careful methodology behind them. Instead, these parts feel illustrative at best. Another of its claims I disagree with is their measure of success. At some point, they define success in 10 years time as the existence of very heterogeneous systems (including quantum computing for some reason I can’t yet comprehend). In my opinion, the system and its shape it’s not what defines success, but its ability to comply with specific needs. While it may look like a minor neat, I do believe it is a major mistake associating the measure of success with what the think are the means to get to a specific goal, rather than reaching the goal itself (a x1000 improvement).</w:t>
      </w:r>
    </w:p>
    <w:p w:rsidR="00000000" w:rsidDel="00000000" w:rsidP="00000000" w:rsidRDefault="00000000" w:rsidRPr="00000000" w14:paraId="0000000A">
      <w:pPr>
        <w:spacing w:after="240" w:before="240" w:lineRule="auto"/>
        <w:rPr/>
      </w:pPr>
      <w:r w:rsidDel="00000000" w:rsidR="00000000" w:rsidRPr="00000000">
        <w:rPr>
          <w:rtl w:val="0"/>
        </w:rPr>
        <w:t xml:space="preserve">Overall, I think this could perhaps work as a short community vision statement, but not as a technical paper. As a research contribution, I find it too vague, too unsupported and too shallow in its treatment of the many topics it talks about. It left me with the impression that the paper says many things that sound important, but does very little to justify them in a rigorous way (quantum computing, processing in memory etc).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