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71AD9" w14:textId="77777777" w:rsidR="00B51668" w:rsidRDefault="003F5105">
      <w:pPr>
        <w:spacing w:before="1200" w:after="200"/>
        <w:jc w:val="center"/>
      </w:pPr>
      <w:r>
        <w:rPr>
          <w:b/>
          <w:bCs/>
          <w:color w:val="1F4E79"/>
          <w:sz w:val="52"/>
          <w:szCs w:val="52"/>
        </w:rPr>
        <w:t>STUDENT DROPOUT ANALYSIS</w:t>
      </w:r>
    </w:p>
    <w:p w14:paraId="285DCA9B" w14:textId="77777777" w:rsidR="00B51668" w:rsidRDefault="003F5105">
      <w:pPr>
        <w:spacing w:after="120"/>
        <w:jc w:val="center"/>
      </w:pPr>
      <w:r>
        <w:rPr>
          <w:color w:val="2E75B6"/>
          <w:sz w:val="30"/>
          <w:szCs w:val="30"/>
        </w:rPr>
        <w:t>A Data Analytics Portfolio Project</w:t>
      </w:r>
    </w:p>
    <w:p w14:paraId="313252A2" w14:textId="77777777" w:rsidR="00B51668" w:rsidRDefault="003F5105">
      <w:pPr>
        <w:spacing w:after="600"/>
        <w:jc w:val="center"/>
      </w:pPr>
      <w:r>
        <w:rPr>
          <w:color w:val="666666"/>
        </w:rPr>
        <w:t xml:space="preserve">Dataset: Student Performance in Higher </w:t>
      </w:r>
      <w:proofErr w:type="gramStart"/>
      <w:r>
        <w:rPr>
          <w:color w:val="666666"/>
        </w:rPr>
        <w:t>Education  |</w:t>
      </w:r>
      <w:proofErr w:type="gramEnd"/>
      <w:r>
        <w:rPr>
          <w:color w:val="666666"/>
        </w:rPr>
        <w:t xml:space="preserve">  Records: 4,424  |  Features: 37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1668" w14:paraId="6DA74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298DEC6" w14:textId="77777777" w:rsidR="00B51668" w:rsidRDefault="003F5105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Key Question: What factors most strongly predict whether a student will graduate, drop out, or remain enrolled?</w:t>
            </w:r>
          </w:p>
        </w:tc>
      </w:tr>
    </w:tbl>
    <w:p w14:paraId="467CBA4E" w14:textId="77777777" w:rsidR="00B51668" w:rsidRDefault="00B51668">
      <w:pPr>
        <w:spacing w:after="200"/>
      </w:pPr>
    </w:p>
    <w:p w14:paraId="3A0428C3" w14:textId="77777777" w:rsidR="00B51668" w:rsidRDefault="003F5105">
      <w:r>
        <w:br w:type="page"/>
      </w:r>
    </w:p>
    <w:p w14:paraId="4C9CA64B" w14:textId="77777777" w:rsidR="00B51668" w:rsidRDefault="003F5105">
      <w:pPr>
        <w:pStyle w:val="Heading1"/>
        <w:pBdr>
          <w:bottom w:val="single" w:sz="8" w:space="4" w:color="2E75B6"/>
        </w:pBdr>
      </w:pPr>
      <w:r>
        <w:lastRenderedPageBreak/>
        <w:t>1. Executive Summary</w:t>
      </w:r>
    </w:p>
    <w:p w14:paraId="30A462D7" w14:textId="77777777" w:rsidR="00B51668" w:rsidRDefault="003F5105">
      <w:pPr>
        <w:spacing w:before="80" w:after="120"/>
      </w:pPr>
      <w:r>
        <w:t xml:space="preserve">This project </w:t>
      </w:r>
      <w:proofErr w:type="spellStart"/>
      <w:r>
        <w:t>analysed</w:t>
      </w:r>
      <w:proofErr w:type="spellEnd"/>
      <w:r>
        <w:t xml:space="preserve"> a real-world dataset of 4,424 higher education students to uncover the key drivers behind student</w:t>
      </w:r>
      <w:r>
        <w:t xml:space="preserve"> dropout, graduation, and continued enrolment. Using Python for data cleaning and exploratory analysis, patterns were identified across academic performance, financial standing, demographic characteristics, and macroeconomic conditions.</w:t>
      </w:r>
    </w:p>
    <w:p w14:paraId="2D70928C" w14:textId="77777777" w:rsidR="00B51668" w:rsidRDefault="00B5166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1668" w14:paraId="721D7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B2C06D" w14:textId="77777777" w:rsidR="00B51668" w:rsidRDefault="003F5105">
            <w:r>
              <w:rPr>
                <w:b/>
                <w:bCs/>
                <w:color w:val="1F4E79"/>
              </w:rPr>
              <w:t>Core Finding</w:t>
            </w:r>
          </w:p>
          <w:p w14:paraId="2E8CFEF3" w14:textId="77777777" w:rsidR="00B51668" w:rsidRDefault="003F5105">
            <w:pPr>
              <w:spacing w:before="60"/>
            </w:pPr>
            <w:r>
              <w:rPr>
                <w:color w:val="333333"/>
              </w:rPr>
              <w:t>Academic performance in the first semester is the single strongest predictor of student outcome. Students who drop out earn an average semester grade of 7.3, compared to 12.6 for graduates — a gap of over 5 grade points. This divergence begins</w:t>
            </w:r>
            <w:r>
              <w:rPr>
                <w:color w:val="333333"/>
              </w:rPr>
              <w:t xml:space="preserve"> in Semester 1 and continues through Semester 2, suggesting early intervention is critical.</w:t>
            </w:r>
          </w:p>
        </w:tc>
      </w:tr>
    </w:tbl>
    <w:p w14:paraId="6EC1DB2D" w14:textId="77777777" w:rsidR="00B51668" w:rsidRDefault="00B51668">
      <w:pPr>
        <w:spacing w:after="100"/>
      </w:pPr>
    </w:p>
    <w:p w14:paraId="1E0242C3" w14:textId="77777777" w:rsidR="00B51668" w:rsidRDefault="003F5105">
      <w:pPr>
        <w:spacing w:before="80" w:after="120"/>
      </w:pPr>
      <w:r>
        <w:t>Three major themes emerged from the analysis:</w:t>
      </w:r>
    </w:p>
    <w:p w14:paraId="57C7FE97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t>Academic disengagement in early semesters is the clearest early warning signal</w:t>
      </w:r>
    </w:p>
    <w:p w14:paraId="2E7ED933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t>Financial hardship — debt and late tu</w:t>
      </w:r>
      <w:r>
        <w:t>ition — dramatically increases dropout risk</w:t>
      </w:r>
    </w:p>
    <w:p w14:paraId="535F340C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t>Scholarship support is strongly protective, with scholarship holders graduating at a rate of 76%</w:t>
      </w:r>
    </w:p>
    <w:p w14:paraId="065C84E2" w14:textId="77777777" w:rsidR="00B51668" w:rsidRDefault="00B51668">
      <w:pPr>
        <w:spacing w:after="200"/>
      </w:pPr>
    </w:p>
    <w:p w14:paraId="26628162" w14:textId="77777777" w:rsidR="00B51668" w:rsidRDefault="003F5105">
      <w:pPr>
        <w:pStyle w:val="Heading1"/>
        <w:pBdr>
          <w:bottom w:val="single" w:sz="8" w:space="4" w:color="2E75B6"/>
        </w:pBdr>
      </w:pPr>
      <w:r>
        <w:t>2. Dataset Overview</w:t>
      </w:r>
    </w:p>
    <w:p w14:paraId="2C0A57AE" w14:textId="77777777" w:rsidR="00B51668" w:rsidRDefault="003F5105">
      <w:pPr>
        <w:pStyle w:val="Heading2"/>
      </w:pPr>
      <w:r>
        <w:t>2.1 Data Source</w:t>
      </w:r>
    </w:p>
    <w:p w14:paraId="23D28834" w14:textId="77777777" w:rsidR="00B51668" w:rsidRDefault="003F5105">
      <w:pPr>
        <w:spacing w:before="80" w:after="120"/>
      </w:pPr>
      <w:r>
        <w:t>The dataset was sourced from a Portuguese higher education institution and contains records for 4,424 students across 37 variables. The target variable classifies each student as Graduate, Dropout, or Enrolled (still active).</w:t>
      </w:r>
    </w:p>
    <w:p w14:paraId="5EBFEC22" w14:textId="77777777" w:rsidR="00B51668" w:rsidRDefault="00B51668">
      <w:pPr>
        <w:spacing w:after="100"/>
      </w:pPr>
    </w:p>
    <w:p w14:paraId="03D2CBDE" w14:textId="77777777" w:rsidR="00B51668" w:rsidRDefault="003F5105">
      <w:pPr>
        <w:pStyle w:val="Heading2"/>
      </w:pPr>
      <w:r>
        <w:t>2.2 Target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600"/>
        <w:gridCol w:w="3560"/>
      </w:tblGrid>
      <w:tr w:rsidR="00B51668" w14:paraId="73D0B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AC42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4B0C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FAD9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61D3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B51668" w14:paraId="4FE9D1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F811" w14:textId="77777777" w:rsidR="00B51668" w:rsidRDefault="003F5105">
            <w:r>
              <w:rPr>
                <w:sz w:val="20"/>
                <w:szCs w:val="20"/>
              </w:rPr>
              <w:t>Graduate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7E04" w14:textId="77777777" w:rsidR="00B51668" w:rsidRDefault="003F5105">
            <w:r>
              <w:rPr>
                <w:sz w:val="20"/>
                <w:szCs w:val="20"/>
              </w:rPr>
              <w:t>2,209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3120" w14:textId="77777777" w:rsidR="00B51668" w:rsidRDefault="003F5105">
            <w:r>
              <w:rPr>
                <w:sz w:val="20"/>
                <w:szCs w:val="20"/>
              </w:rPr>
              <w:t>49.9%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7205" w14:textId="77777777" w:rsidR="00B51668" w:rsidRDefault="003F5105">
            <w:r>
              <w:rPr>
                <w:sz w:val="20"/>
                <w:szCs w:val="20"/>
              </w:rPr>
              <w:t xml:space="preserve">Almost half of students completed their </w:t>
            </w:r>
            <w:proofErr w:type="spellStart"/>
            <w:r>
              <w:rPr>
                <w:sz w:val="20"/>
                <w:szCs w:val="20"/>
              </w:rPr>
              <w:t>programme</w:t>
            </w:r>
            <w:proofErr w:type="spellEnd"/>
          </w:p>
        </w:tc>
      </w:tr>
      <w:tr w:rsidR="00B51668" w14:paraId="35706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CBF6" w14:textId="77777777" w:rsidR="00B51668" w:rsidRDefault="003F5105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8EB6" w14:textId="77777777" w:rsidR="00B51668" w:rsidRDefault="003F5105">
            <w:r>
              <w:rPr>
                <w:sz w:val="20"/>
                <w:szCs w:val="20"/>
              </w:rPr>
              <w:t>1,421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96A4" w14:textId="77777777" w:rsidR="00B51668" w:rsidRDefault="003F5105">
            <w:r>
              <w:rPr>
                <w:sz w:val="20"/>
                <w:szCs w:val="20"/>
              </w:rPr>
              <w:t>32.1%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BFBC" w14:textId="77777777" w:rsidR="00B51668" w:rsidRDefault="003F5105">
            <w:r>
              <w:rPr>
                <w:sz w:val="20"/>
                <w:szCs w:val="20"/>
              </w:rPr>
              <w:t>Nearly 1 in 3 students left before completing</w:t>
            </w:r>
          </w:p>
        </w:tc>
      </w:tr>
      <w:tr w:rsidR="00B51668" w14:paraId="660E5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3CA1" w14:textId="77777777" w:rsidR="00B51668" w:rsidRDefault="003F5105">
            <w:r>
              <w:rPr>
                <w:sz w:val="20"/>
                <w:szCs w:val="20"/>
              </w:rPr>
              <w:t>Enrolled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C67A" w14:textId="77777777" w:rsidR="00B51668" w:rsidRDefault="003F5105">
            <w:r>
              <w:rPr>
                <w:sz w:val="20"/>
                <w:szCs w:val="20"/>
              </w:rPr>
              <w:t>794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15EE" w14:textId="77777777" w:rsidR="00B51668" w:rsidRDefault="003F5105">
            <w:r>
              <w:rPr>
                <w:sz w:val="20"/>
                <w:szCs w:val="20"/>
              </w:rPr>
              <w:t>17.9%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1C9D" w14:textId="77777777" w:rsidR="00B51668" w:rsidRDefault="003F5105">
            <w:r>
              <w:rPr>
                <w:sz w:val="20"/>
                <w:szCs w:val="20"/>
              </w:rPr>
              <w:t>Still active — outcome not yet determined</w:t>
            </w:r>
          </w:p>
        </w:tc>
      </w:tr>
    </w:tbl>
    <w:p w14:paraId="4FDEB403" w14:textId="77777777" w:rsidR="00B51668" w:rsidRDefault="00B51668">
      <w:pPr>
        <w:spacing w:after="100"/>
      </w:pPr>
    </w:p>
    <w:p w14:paraId="2DACC696" w14:textId="77777777" w:rsidR="00B51668" w:rsidRDefault="003F5105">
      <w:pPr>
        <w:spacing w:before="80" w:after="120"/>
      </w:pPr>
      <w:r>
        <w:t>The class imbalance — particularly the small Enrolled group — was noted as a consideration for any future predictive modelling.</w:t>
      </w:r>
    </w:p>
    <w:p w14:paraId="584B26C2" w14:textId="77777777" w:rsidR="00B51668" w:rsidRDefault="00B51668">
      <w:pPr>
        <w:spacing w:after="100"/>
      </w:pPr>
    </w:p>
    <w:p w14:paraId="561AB824" w14:textId="77777777" w:rsidR="00B51668" w:rsidRDefault="003F5105">
      <w:pPr>
        <w:pStyle w:val="Heading2"/>
      </w:pPr>
      <w:r>
        <w:lastRenderedPageBreak/>
        <w:t>2.3 Data Cleaning Steps</w:t>
      </w:r>
    </w:p>
    <w:p w14:paraId="5A172AD9" w14:textId="77777777" w:rsidR="00B51668" w:rsidRDefault="003F5105">
      <w:pPr>
        <w:spacing w:before="80" w:after="120"/>
      </w:pPr>
      <w:r>
        <w:t>The following issues were identified and resolved before analysis:</w:t>
      </w:r>
    </w:p>
    <w:p w14:paraId="45D3A4A4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File used semicolons (;) as separato</w:t>
      </w:r>
      <w:r>
        <w:rPr>
          <w:b/>
          <w:bCs/>
        </w:rPr>
        <w:t xml:space="preserve">r — corrected during loading with </w:t>
      </w:r>
      <w:proofErr w:type="spellStart"/>
      <w:r>
        <w:rPr>
          <w:b/>
          <w:bCs/>
        </w:rPr>
        <w:t>sep</w:t>
      </w:r>
      <w:proofErr w:type="spellEnd"/>
      <w:r>
        <w:rPr>
          <w:b/>
          <w:bCs/>
        </w:rPr>
        <w:t>=';'</w:t>
      </w:r>
      <w:r>
        <w:t xml:space="preserve">Delimiter issue: </w:t>
      </w:r>
    </w:p>
    <w:p w14:paraId="6360114D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'</w:t>
      </w:r>
      <w:proofErr w:type="spellStart"/>
      <w:r>
        <w:rPr>
          <w:b/>
          <w:bCs/>
        </w:rPr>
        <w:t>Nacionality</w:t>
      </w:r>
      <w:proofErr w:type="spellEnd"/>
      <w:r>
        <w:rPr>
          <w:b/>
          <w:bCs/>
        </w:rPr>
        <w:t>' corrected to '</w:t>
      </w:r>
      <w:proofErr w:type="spellStart"/>
      <w:r>
        <w:rPr>
          <w:b/>
          <w:bCs/>
        </w:rPr>
        <w:t>Nationality'</w:t>
      </w:r>
      <w:r>
        <w:t>Column</w:t>
      </w:r>
      <w:proofErr w:type="spellEnd"/>
      <w:r>
        <w:t xml:space="preserve"> name typo: </w:t>
      </w:r>
    </w:p>
    <w:p w14:paraId="77849C1F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Tab character removed from 'Daytime/evening </w:t>
      </w:r>
      <w:proofErr w:type="spellStart"/>
      <w:r>
        <w:rPr>
          <w:b/>
          <w:bCs/>
        </w:rPr>
        <w:t>attendance'</w:t>
      </w:r>
      <w:r>
        <w:t>Whitespace</w:t>
      </w:r>
      <w:proofErr w:type="spellEnd"/>
      <w:r>
        <w:t xml:space="preserve"> in header: </w:t>
      </w:r>
    </w:p>
    <w:p w14:paraId="356659B5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All curricular unit columns shortened (</w:t>
      </w:r>
      <w:proofErr w:type="gramStart"/>
      <w:r>
        <w:rPr>
          <w:b/>
          <w:bCs/>
        </w:rPr>
        <w:t>e.g.</w:t>
      </w:r>
      <w:proofErr w:type="gramEnd"/>
      <w:r>
        <w:rPr>
          <w:b/>
          <w:bCs/>
        </w:rPr>
        <w:t xml:space="preserve"> 'Curricular unit</w:t>
      </w:r>
      <w:r>
        <w:rPr>
          <w:b/>
          <w:bCs/>
        </w:rPr>
        <w:t xml:space="preserve">s 1st </w:t>
      </w:r>
      <w:proofErr w:type="spellStart"/>
      <w:r>
        <w:rPr>
          <w:b/>
          <w:bCs/>
        </w:rPr>
        <w:t>sem</w:t>
      </w:r>
      <w:proofErr w:type="spellEnd"/>
      <w:r>
        <w:rPr>
          <w:b/>
          <w:bCs/>
        </w:rPr>
        <w:t xml:space="preserve"> (grade)' → 'Sem1 grade') for </w:t>
      </w:r>
      <w:proofErr w:type="spellStart"/>
      <w:r>
        <w:rPr>
          <w:b/>
          <w:bCs/>
        </w:rPr>
        <w:t>readability</w:t>
      </w:r>
      <w:r>
        <w:t>Long</w:t>
      </w:r>
      <w:proofErr w:type="spellEnd"/>
      <w:r>
        <w:t xml:space="preserve"> column names: </w:t>
      </w:r>
    </w:p>
    <w:p w14:paraId="328C45C1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Integer-coded binary columns (0/1) mapped to readable labels (e.g. Gender: 0 → Female, 1 → </w:t>
      </w:r>
      <w:proofErr w:type="gramStart"/>
      <w:r>
        <w:rPr>
          <w:b/>
          <w:bCs/>
        </w:rPr>
        <w:t>Male)</w:t>
      </w:r>
      <w:r>
        <w:t>Binary</w:t>
      </w:r>
      <w:proofErr w:type="gramEnd"/>
      <w:r>
        <w:t xml:space="preserve"> encoding decoded: </w:t>
      </w:r>
    </w:p>
    <w:p w14:paraId="4A5CBE27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No duplicate rows were </w:t>
      </w:r>
      <w:proofErr w:type="spellStart"/>
      <w:r>
        <w:rPr>
          <w:b/>
          <w:bCs/>
        </w:rPr>
        <w:t>found</w:t>
      </w:r>
      <w:r>
        <w:t>Duplicate</w:t>
      </w:r>
      <w:proofErr w:type="spellEnd"/>
      <w:r>
        <w:t xml:space="preserve"> check: </w:t>
      </w:r>
    </w:p>
    <w:p w14:paraId="62F7AB1E" w14:textId="77777777" w:rsidR="00B51668" w:rsidRDefault="003F510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None detected across all 37 </w:t>
      </w:r>
      <w:proofErr w:type="spellStart"/>
      <w:r>
        <w:rPr>
          <w:b/>
          <w:bCs/>
        </w:rPr>
        <w:t>columns</w:t>
      </w:r>
      <w:r>
        <w:t>Missing</w:t>
      </w:r>
      <w:proofErr w:type="spellEnd"/>
      <w:r>
        <w:t xml:space="preserve"> values: </w:t>
      </w:r>
    </w:p>
    <w:p w14:paraId="526C8CA4" w14:textId="77777777" w:rsidR="00B51668" w:rsidRDefault="00B51668">
      <w:pPr>
        <w:spacing w:after="200"/>
      </w:pPr>
    </w:p>
    <w:p w14:paraId="295C5B40" w14:textId="77777777" w:rsidR="00B51668" w:rsidRDefault="003F5105">
      <w:pPr>
        <w:pStyle w:val="Heading1"/>
        <w:pBdr>
          <w:bottom w:val="single" w:sz="8" w:space="4" w:color="2E75B6"/>
        </w:pBdr>
      </w:pPr>
      <w:r>
        <w:t>3. Key Findings &amp; Insights</w:t>
      </w:r>
    </w:p>
    <w:p w14:paraId="572580C3" w14:textId="77777777" w:rsidR="00B51668" w:rsidRDefault="003F5105">
      <w:pPr>
        <w:pStyle w:val="Heading2"/>
      </w:pPr>
      <w:r>
        <w:t>3.1 Academic Performance is the Strongest Predictor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B51668" w14:paraId="075EC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A2DD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D2F3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Graduate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85E0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Enrolled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B4CC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Dropout</w:t>
            </w:r>
          </w:p>
        </w:tc>
      </w:tr>
      <w:tr w:rsidR="00B51668" w14:paraId="1310CA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FBE1" w14:textId="77777777" w:rsidR="00B51668" w:rsidRDefault="003F5105">
            <w:r>
              <w:rPr>
                <w:sz w:val="20"/>
                <w:szCs w:val="20"/>
              </w:rPr>
              <w:t>Sem1 Average Grade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DC99" w14:textId="77777777" w:rsidR="00B51668" w:rsidRDefault="003F5105">
            <w:r>
              <w:rPr>
                <w:sz w:val="20"/>
                <w:szCs w:val="20"/>
              </w:rPr>
              <w:t>12.64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CF13" w14:textId="77777777" w:rsidR="00B51668" w:rsidRDefault="003F5105">
            <w:r>
              <w:rPr>
                <w:sz w:val="20"/>
                <w:szCs w:val="20"/>
              </w:rPr>
              <w:t>11.13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B82F" w14:textId="77777777" w:rsidR="00B51668" w:rsidRDefault="003F5105">
            <w:r>
              <w:rPr>
                <w:sz w:val="20"/>
                <w:szCs w:val="20"/>
              </w:rPr>
              <w:t>7.26</w:t>
            </w:r>
          </w:p>
        </w:tc>
      </w:tr>
      <w:tr w:rsidR="00B51668" w14:paraId="4C652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B7AF" w14:textId="77777777" w:rsidR="00B51668" w:rsidRDefault="003F5105">
            <w:r>
              <w:rPr>
                <w:sz w:val="20"/>
                <w:szCs w:val="20"/>
              </w:rPr>
              <w:t>Sem2 Average Grade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6CC5" w14:textId="77777777" w:rsidR="00B51668" w:rsidRDefault="003F5105">
            <w:r>
              <w:rPr>
                <w:sz w:val="20"/>
                <w:szCs w:val="20"/>
              </w:rPr>
              <w:t>12.70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A440" w14:textId="77777777" w:rsidR="00B51668" w:rsidRDefault="003F5105">
            <w:r>
              <w:rPr>
                <w:sz w:val="20"/>
                <w:szCs w:val="20"/>
              </w:rPr>
              <w:t>11.12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E732" w14:textId="77777777" w:rsidR="00B51668" w:rsidRDefault="003F5105">
            <w:r>
              <w:rPr>
                <w:sz w:val="20"/>
                <w:szCs w:val="20"/>
              </w:rPr>
              <w:t>5.90</w:t>
            </w:r>
          </w:p>
        </w:tc>
      </w:tr>
      <w:tr w:rsidR="00B51668" w14:paraId="3361B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7C8E" w14:textId="77777777" w:rsidR="00B51668" w:rsidRDefault="003F5105">
            <w:r>
              <w:rPr>
                <w:sz w:val="20"/>
                <w:szCs w:val="20"/>
              </w:rPr>
              <w:t>Sem1 Avg Units Approved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4C25" w14:textId="77777777" w:rsidR="00B51668" w:rsidRDefault="003F5105">
            <w:r>
              <w:rPr>
                <w:sz w:val="20"/>
                <w:szCs w:val="20"/>
              </w:rPr>
              <w:t>6.23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0B3F" w14:textId="77777777" w:rsidR="00B51668" w:rsidRDefault="003F5105">
            <w:r>
              <w:rPr>
                <w:sz w:val="20"/>
                <w:szCs w:val="20"/>
              </w:rPr>
              <w:t>4.32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47A1" w14:textId="77777777" w:rsidR="00B51668" w:rsidRDefault="003F5105">
            <w:r>
              <w:rPr>
                <w:sz w:val="20"/>
                <w:szCs w:val="20"/>
              </w:rPr>
              <w:t>2.55</w:t>
            </w:r>
          </w:p>
        </w:tc>
      </w:tr>
      <w:tr w:rsidR="00B51668" w14:paraId="69C357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2CF9" w14:textId="77777777" w:rsidR="00B51668" w:rsidRDefault="003F5105">
            <w:r>
              <w:rPr>
                <w:sz w:val="20"/>
                <w:szCs w:val="20"/>
              </w:rPr>
              <w:t>Sem2 Avg Units Approved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368E" w14:textId="77777777" w:rsidR="00B51668" w:rsidRDefault="003F5105">
            <w:r>
              <w:rPr>
                <w:sz w:val="20"/>
                <w:szCs w:val="20"/>
              </w:rPr>
              <w:t>6.18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C737" w14:textId="77777777" w:rsidR="00B51668" w:rsidRDefault="003F5105">
            <w:r>
              <w:rPr>
                <w:sz w:val="20"/>
                <w:szCs w:val="20"/>
              </w:rPr>
              <w:t>4.06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7CD2" w14:textId="77777777" w:rsidR="00B51668" w:rsidRDefault="003F5105">
            <w:r>
              <w:rPr>
                <w:sz w:val="20"/>
                <w:szCs w:val="20"/>
              </w:rPr>
              <w:t>1.94</w:t>
            </w:r>
          </w:p>
        </w:tc>
      </w:tr>
    </w:tbl>
    <w:p w14:paraId="05F0B5D2" w14:textId="77777777" w:rsidR="00B51668" w:rsidRDefault="00B51668">
      <w:pPr>
        <w:spacing w:after="100"/>
      </w:pPr>
    </w:p>
    <w:p w14:paraId="7E7BF00F" w14:textId="77777777" w:rsidR="00B51668" w:rsidRDefault="003F5105">
      <w:pPr>
        <w:spacing w:before="80" w:after="120"/>
      </w:pPr>
      <w:r>
        <w:t xml:space="preserve">Insight: Dropout students approve less than half the units of graduates in both semesters. Their Semester 2 grades (5.90) are significantly lower than Semester 1 (7.26), suggesting academic performance continues to decline after a difficult first semester </w:t>
      </w:r>
      <w:r>
        <w:t xml:space="preserve">rather than recovering. Early academic support after Semester 1 results </w:t>
      </w:r>
      <w:proofErr w:type="gramStart"/>
      <w:r>
        <w:t>are</w:t>
      </w:r>
      <w:proofErr w:type="gramEnd"/>
      <w:r>
        <w:t xml:space="preserve"> published could prevent many dropouts.</w:t>
      </w:r>
    </w:p>
    <w:p w14:paraId="73B5672F" w14:textId="77777777" w:rsidR="00B51668" w:rsidRDefault="00B51668">
      <w:pPr>
        <w:spacing w:after="100"/>
      </w:pPr>
    </w:p>
    <w:p w14:paraId="11445A1B" w14:textId="77777777" w:rsidR="00B51668" w:rsidRDefault="003F5105">
      <w:pPr>
        <w:pStyle w:val="Heading2"/>
      </w:pPr>
      <w:r>
        <w:t>3.2 Financial Hardship Strongly Drives Dropout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3760"/>
      </w:tblGrid>
      <w:tr w:rsidR="00B51668" w14:paraId="3C4A2B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842C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Financial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2E9B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Dropout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A0A4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Graduate Rate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6D20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B51668" w14:paraId="799645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4E04" w14:textId="77777777" w:rsidR="00B51668" w:rsidRDefault="003F5105">
            <w:r>
              <w:rPr>
                <w:sz w:val="20"/>
                <w:szCs w:val="20"/>
              </w:rPr>
              <w:t>Tuition NOT up to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8F4D" w14:textId="77777777" w:rsidR="00B51668" w:rsidRDefault="003F5105">
            <w:r>
              <w:rPr>
                <w:sz w:val="20"/>
                <w:szCs w:val="20"/>
              </w:rPr>
              <w:t>86.6%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3804" w14:textId="77777777" w:rsidR="00B51668" w:rsidRDefault="003F5105">
            <w:r>
              <w:rPr>
                <w:sz w:val="20"/>
                <w:szCs w:val="20"/>
              </w:rPr>
              <w:t>5.5%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D063" w14:textId="77777777" w:rsidR="00B51668" w:rsidRDefault="003F5105">
            <w:r>
              <w:rPr>
                <w:sz w:val="20"/>
                <w:szCs w:val="20"/>
              </w:rPr>
              <w:t>Near-certain dropout if fees unpaid</w:t>
            </w:r>
          </w:p>
        </w:tc>
      </w:tr>
      <w:tr w:rsidR="00B51668" w14:paraId="07FD2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AA54" w14:textId="77777777" w:rsidR="00B51668" w:rsidRDefault="003F5105">
            <w:r>
              <w:rPr>
                <w:sz w:val="20"/>
                <w:szCs w:val="20"/>
              </w:rPr>
              <w:t>Tuition up to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19ED" w14:textId="77777777" w:rsidR="00B51668" w:rsidRDefault="003F5105">
            <w:r>
              <w:rPr>
                <w:sz w:val="20"/>
                <w:szCs w:val="20"/>
              </w:rPr>
              <w:t>24.7%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8E4" w14:textId="77777777" w:rsidR="00B51668" w:rsidRDefault="003F5105">
            <w:r>
              <w:rPr>
                <w:sz w:val="20"/>
                <w:szCs w:val="20"/>
              </w:rPr>
              <w:t>56.0%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6CF7" w14:textId="77777777" w:rsidR="00B51668" w:rsidRDefault="003F5105">
            <w:r>
              <w:rPr>
                <w:sz w:val="20"/>
                <w:szCs w:val="20"/>
              </w:rPr>
              <w:t>Most go on to graduate</w:t>
            </w:r>
          </w:p>
        </w:tc>
      </w:tr>
      <w:tr w:rsidR="00B51668" w14:paraId="75BE9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C5B3" w14:textId="77777777" w:rsidR="00B51668" w:rsidRDefault="003F5105">
            <w:r>
              <w:rPr>
                <w:sz w:val="20"/>
                <w:szCs w:val="20"/>
              </w:rPr>
              <w:t>Has debt (Debtor: Yes)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33C1" w14:textId="77777777" w:rsidR="00B51668" w:rsidRDefault="003F5105">
            <w:r>
              <w:rPr>
                <w:sz w:val="20"/>
                <w:szCs w:val="20"/>
              </w:rPr>
              <w:t>62.0%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30C8" w14:textId="77777777" w:rsidR="00B51668" w:rsidRDefault="003F5105">
            <w:r>
              <w:rPr>
                <w:sz w:val="20"/>
                <w:szCs w:val="20"/>
              </w:rPr>
              <w:t>20.1%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2EF0" w14:textId="77777777" w:rsidR="00B51668" w:rsidRDefault="003F5105">
            <w:r>
              <w:rPr>
                <w:sz w:val="20"/>
                <w:szCs w:val="20"/>
              </w:rPr>
              <w:t>Debt more than doubles dropout risk</w:t>
            </w:r>
          </w:p>
        </w:tc>
      </w:tr>
      <w:tr w:rsidR="00B51668" w14:paraId="3F15F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9034" w14:textId="77777777" w:rsidR="00B51668" w:rsidRDefault="003F5105">
            <w:r>
              <w:rPr>
                <w:sz w:val="20"/>
                <w:szCs w:val="20"/>
              </w:rPr>
              <w:t>No debt (Debtor: No)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DB1A" w14:textId="77777777" w:rsidR="00B51668" w:rsidRDefault="003F5105">
            <w:r>
              <w:rPr>
                <w:sz w:val="20"/>
                <w:szCs w:val="20"/>
              </w:rPr>
              <w:t>28.3%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67D7" w14:textId="77777777" w:rsidR="00B51668" w:rsidRDefault="003F5105">
            <w:r>
              <w:rPr>
                <w:sz w:val="20"/>
                <w:szCs w:val="20"/>
              </w:rPr>
              <w:t>53.8%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4C17" w14:textId="77777777" w:rsidR="00B51668" w:rsidRDefault="003F5105">
            <w:r>
              <w:rPr>
                <w:sz w:val="20"/>
                <w:szCs w:val="20"/>
              </w:rPr>
              <w:t>Majority graduate without debt</w:t>
            </w:r>
          </w:p>
        </w:tc>
      </w:tr>
    </w:tbl>
    <w:p w14:paraId="4887A052" w14:textId="77777777" w:rsidR="00B51668" w:rsidRDefault="00B51668">
      <w:pPr>
        <w:spacing w:after="100"/>
      </w:pPr>
    </w:p>
    <w:p w14:paraId="161E37DE" w14:textId="77777777" w:rsidR="00B51668" w:rsidRDefault="003F5105">
      <w:pPr>
        <w:spacing w:before="80" w:after="120"/>
      </w:pPr>
      <w:r>
        <w:lastRenderedPageBreak/>
        <w:t>Insight: Students who are not up to date with tuition have an 86.6% dropout rate — the highest single dropout risk factor in the dataset. This strongly suggests financial barriers are causing students to leave rather than academic inability. Student financ</w:t>
      </w:r>
      <w:r>
        <w:t xml:space="preserve">ial aid </w:t>
      </w:r>
      <w:proofErr w:type="spellStart"/>
      <w:r>
        <w:t>programmes</w:t>
      </w:r>
      <w:proofErr w:type="spellEnd"/>
      <w:r>
        <w:t xml:space="preserve"> and fee deferral options could directly reduce dropout rates.</w:t>
      </w:r>
    </w:p>
    <w:p w14:paraId="2051FD77" w14:textId="77777777" w:rsidR="00B51668" w:rsidRDefault="00B51668">
      <w:pPr>
        <w:spacing w:after="100"/>
      </w:pPr>
    </w:p>
    <w:p w14:paraId="04759274" w14:textId="77777777" w:rsidR="00B51668" w:rsidRDefault="003F5105">
      <w:pPr>
        <w:pStyle w:val="Heading2"/>
      </w:pPr>
      <w:r>
        <w:t>3.3 Scholarships are Strongly Protective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86"/>
        <w:gridCol w:w="2186"/>
        <w:gridCol w:w="2188"/>
      </w:tblGrid>
      <w:tr w:rsidR="00B51668" w14:paraId="122D5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25E9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Scholarship Status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3735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Graduate Rate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C4C0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Dropout Rate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9AB8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Enrolled Rate</w:t>
            </w:r>
          </w:p>
        </w:tc>
      </w:tr>
      <w:tr w:rsidR="00B51668" w14:paraId="6FC1D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4D6B" w14:textId="77777777" w:rsidR="00B51668" w:rsidRDefault="003F5105">
            <w:r>
              <w:rPr>
                <w:sz w:val="20"/>
                <w:szCs w:val="20"/>
              </w:rPr>
              <w:t>Scholarship Holder — Yes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03F2" w14:textId="77777777" w:rsidR="00B51668" w:rsidRDefault="003F5105">
            <w:r>
              <w:rPr>
                <w:sz w:val="20"/>
                <w:szCs w:val="20"/>
              </w:rPr>
              <w:t>76.0%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4158" w14:textId="77777777" w:rsidR="00B51668" w:rsidRDefault="003F5105">
            <w:r>
              <w:rPr>
                <w:sz w:val="20"/>
                <w:szCs w:val="20"/>
              </w:rPr>
              <w:t>12.2%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8C22" w14:textId="77777777" w:rsidR="00B51668" w:rsidRDefault="003F5105">
            <w:r>
              <w:rPr>
                <w:sz w:val="20"/>
                <w:szCs w:val="20"/>
              </w:rPr>
              <w:t>11.8%</w:t>
            </w:r>
          </w:p>
        </w:tc>
      </w:tr>
      <w:tr w:rsidR="00B51668" w14:paraId="003F0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1752" w14:textId="77777777" w:rsidR="00B51668" w:rsidRDefault="003F5105">
            <w:r>
              <w:rPr>
                <w:sz w:val="20"/>
                <w:szCs w:val="20"/>
              </w:rPr>
              <w:t>Scholarship Holder — No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AD89" w14:textId="77777777" w:rsidR="00B51668" w:rsidRDefault="003F5105">
            <w:r>
              <w:rPr>
                <w:sz w:val="20"/>
                <w:szCs w:val="20"/>
              </w:rPr>
              <w:t>41.3%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2746" w14:textId="77777777" w:rsidR="00B51668" w:rsidRDefault="003F5105">
            <w:r>
              <w:rPr>
                <w:sz w:val="20"/>
                <w:szCs w:val="20"/>
              </w:rPr>
              <w:t>38.7%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A5B5" w14:textId="77777777" w:rsidR="00B51668" w:rsidRDefault="003F5105">
            <w:r>
              <w:rPr>
                <w:sz w:val="20"/>
                <w:szCs w:val="20"/>
              </w:rPr>
              <w:t>20.0%</w:t>
            </w:r>
          </w:p>
        </w:tc>
      </w:tr>
    </w:tbl>
    <w:p w14:paraId="0CC56C56" w14:textId="77777777" w:rsidR="00B51668" w:rsidRDefault="00B51668">
      <w:pPr>
        <w:spacing w:after="100"/>
      </w:pPr>
    </w:p>
    <w:p w14:paraId="0CD9DEDC" w14:textId="77777777" w:rsidR="00B51668" w:rsidRDefault="003F5105">
      <w:pPr>
        <w:spacing w:before="80" w:after="120"/>
      </w:pPr>
      <w:r>
        <w:t>Insight: Scholarship holders graduate at nearly double the rate of non-holders (76% vs 41%) and drop out at a third of the rate (12% vs 39%). This is the clearest evidence that financial support is not just helpful — it is transformative for student retent</w:t>
      </w:r>
      <w:r>
        <w:t>ion. Expanding scholarship availability, especially targeting at-risk students, is one of the highest-impact interventions available.</w:t>
      </w:r>
    </w:p>
    <w:p w14:paraId="1D4767F2" w14:textId="77777777" w:rsidR="00B51668" w:rsidRDefault="00B51668">
      <w:pPr>
        <w:spacing w:after="100"/>
      </w:pPr>
    </w:p>
    <w:p w14:paraId="576B64D1" w14:textId="77777777" w:rsidR="00B51668" w:rsidRDefault="003F5105">
      <w:pPr>
        <w:pStyle w:val="Heading2"/>
      </w:pPr>
      <w:r>
        <w:t>3.4 Gender Differences in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51668" w14:paraId="54C24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77D2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A196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Graduate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B95B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Dropout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A4EF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Enrolled Rate</w:t>
            </w:r>
          </w:p>
        </w:tc>
      </w:tr>
      <w:tr w:rsidR="00B51668" w14:paraId="57132C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7960" w14:textId="77777777" w:rsidR="00B51668" w:rsidRDefault="003F5105">
            <w:r>
              <w:rPr>
                <w:sz w:val="20"/>
                <w:szCs w:val="20"/>
              </w:rPr>
              <w:t>Female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3203" w14:textId="77777777" w:rsidR="00B51668" w:rsidRDefault="003F5105">
            <w:r>
              <w:rPr>
                <w:sz w:val="20"/>
                <w:szCs w:val="20"/>
              </w:rPr>
              <w:t>57.9%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8AA3" w14:textId="77777777" w:rsidR="00B51668" w:rsidRDefault="003F5105">
            <w:r>
              <w:rPr>
                <w:sz w:val="20"/>
                <w:szCs w:val="20"/>
              </w:rPr>
              <w:t>25.1%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5845" w14:textId="77777777" w:rsidR="00B51668" w:rsidRDefault="003F5105">
            <w:r>
              <w:rPr>
                <w:sz w:val="20"/>
                <w:szCs w:val="20"/>
              </w:rPr>
              <w:t>17.0%</w:t>
            </w:r>
          </w:p>
        </w:tc>
      </w:tr>
      <w:tr w:rsidR="00B51668" w14:paraId="2E3288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B75C" w14:textId="77777777" w:rsidR="00B51668" w:rsidRDefault="003F5105">
            <w:r>
              <w:rPr>
                <w:sz w:val="20"/>
                <w:szCs w:val="20"/>
              </w:rPr>
              <w:t>Male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0B74" w14:textId="77777777" w:rsidR="00B51668" w:rsidRDefault="003F5105">
            <w:r>
              <w:rPr>
                <w:sz w:val="20"/>
                <w:szCs w:val="20"/>
              </w:rPr>
              <w:t>35.2%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4279" w14:textId="77777777" w:rsidR="00B51668" w:rsidRDefault="003F5105">
            <w:r>
              <w:rPr>
                <w:sz w:val="20"/>
                <w:szCs w:val="20"/>
              </w:rPr>
              <w:t>45.1%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F3ED" w14:textId="77777777" w:rsidR="00B51668" w:rsidRDefault="003F5105">
            <w:r>
              <w:rPr>
                <w:sz w:val="20"/>
                <w:szCs w:val="20"/>
              </w:rPr>
              <w:t>19.7%</w:t>
            </w:r>
          </w:p>
        </w:tc>
      </w:tr>
    </w:tbl>
    <w:p w14:paraId="6398CEC7" w14:textId="77777777" w:rsidR="00B51668" w:rsidRDefault="00B51668">
      <w:pPr>
        <w:spacing w:after="100"/>
      </w:pPr>
    </w:p>
    <w:p w14:paraId="78419383" w14:textId="77777777" w:rsidR="00B51668" w:rsidRDefault="003F5105">
      <w:pPr>
        <w:spacing w:before="80" w:after="120"/>
      </w:pPr>
      <w:r>
        <w:t xml:space="preserve">Insight: Male students drop out at 45.1%, nearly double the female dropout rate of 25.1%. Female students also graduate at a significantly higher rate (57.9% vs 35.2%). This gender gap warrants further investigation — possible contributing factors include </w:t>
      </w:r>
      <w:r>
        <w:t>course choice differences, part-time employment pressures, or differing levels of institutional support.</w:t>
      </w:r>
    </w:p>
    <w:p w14:paraId="06C50606" w14:textId="77777777" w:rsidR="00B51668" w:rsidRDefault="00B51668">
      <w:pPr>
        <w:spacing w:after="100"/>
      </w:pPr>
    </w:p>
    <w:p w14:paraId="4F84CA5A" w14:textId="77777777" w:rsidR="00B51668" w:rsidRDefault="003F5105">
      <w:pPr>
        <w:pStyle w:val="Heading2"/>
      </w:pPr>
      <w:r>
        <w:t>3.5 Age at Enrolment Matters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B51668" w14:paraId="08799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C50C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3BD9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Mean 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A92F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Median Age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3023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B51668" w14:paraId="37D7D9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0D5D" w14:textId="77777777" w:rsidR="00B51668" w:rsidRDefault="003F5105">
            <w:r>
              <w:rPr>
                <w:sz w:val="20"/>
                <w:szCs w:val="20"/>
              </w:rPr>
              <w:t>Graduate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772A" w14:textId="77777777" w:rsidR="00B51668" w:rsidRDefault="003F5105">
            <w:r>
              <w:rPr>
                <w:sz w:val="20"/>
                <w:szCs w:val="20"/>
              </w:rPr>
              <w:t>21.8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3996" w14:textId="77777777" w:rsidR="00B51668" w:rsidRDefault="003F5105">
            <w:r>
              <w:rPr>
                <w:sz w:val="20"/>
                <w:szCs w:val="20"/>
              </w:rPr>
              <w:t>19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F33B" w14:textId="77777777" w:rsidR="00B51668" w:rsidRDefault="003F5105">
            <w:r>
              <w:rPr>
                <w:sz w:val="20"/>
                <w:szCs w:val="20"/>
              </w:rPr>
              <w:t>Mostly traditional-age students</w:t>
            </w:r>
          </w:p>
        </w:tc>
      </w:tr>
      <w:tr w:rsidR="00B51668" w14:paraId="3B82DD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9BDD" w14:textId="77777777" w:rsidR="00B51668" w:rsidRDefault="003F5105">
            <w:r>
              <w:rPr>
                <w:sz w:val="20"/>
                <w:szCs w:val="20"/>
              </w:rPr>
              <w:t>Enrolled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6671" w14:textId="77777777" w:rsidR="00B51668" w:rsidRDefault="003F5105">
            <w:r>
              <w:rPr>
                <w:sz w:val="20"/>
                <w:szCs w:val="20"/>
              </w:rPr>
              <w:t>22.4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F250" w14:textId="77777777" w:rsidR="00B51668" w:rsidRDefault="003F5105">
            <w:r>
              <w:rPr>
                <w:sz w:val="20"/>
                <w:szCs w:val="20"/>
              </w:rPr>
              <w:t>20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CB3E" w14:textId="77777777" w:rsidR="00B51668" w:rsidRDefault="003F5105">
            <w:r>
              <w:rPr>
                <w:sz w:val="20"/>
                <w:szCs w:val="20"/>
              </w:rPr>
              <w:t>Slightly older, still active</w:t>
            </w:r>
          </w:p>
        </w:tc>
      </w:tr>
      <w:tr w:rsidR="00B51668" w14:paraId="04C124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A229" w14:textId="77777777" w:rsidR="00B51668" w:rsidRDefault="003F5105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B418" w14:textId="77777777" w:rsidR="00B51668" w:rsidRDefault="003F5105">
            <w:r>
              <w:rPr>
                <w:sz w:val="20"/>
                <w:szCs w:val="20"/>
              </w:rPr>
              <w:t>26.1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D536" w14:textId="77777777" w:rsidR="00B51668" w:rsidRDefault="003F5105">
            <w:r>
              <w:rPr>
                <w:sz w:val="20"/>
                <w:szCs w:val="20"/>
              </w:rPr>
              <w:t>23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3FF3" w14:textId="77777777" w:rsidR="00B51668" w:rsidRDefault="003F5105">
            <w:r>
              <w:rPr>
                <w:sz w:val="20"/>
                <w:szCs w:val="20"/>
              </w:rPr>
              <w:t>Notably older on average</w:t>
            </w:r>
          </w:p>
        </w:tc>
      </w:tr>
    </w:tbl>
    <w:p w14:paraId="009380BF" w14:textId="77777777" w:rsidR="00B51668" w:rsidRDefault="00B51668">
      <w:pPr>
        <w:spacing w:after="100"/>
      </w:pPr>
    </w:p>
    <w:p w14:paraId="35BEDDCE" w14:textId="77777777" w:rsidR="00B51668" w:rsidRDefault="003F5105">
      <w:pPr>
        <w:spacing w:before="80" w:after="120"/>
      </w:pPr>
      <w:r>
        <w:t>Insight: Dropout students are on average 4.3 years older than graduates at enrolment. Older students are more likely to be balancing work, family, and financial obligations alongside study — all factors that increase dropout risk. Mature-age students may b</w:t>
      </w:r>
      <w:r>
        <w:t>enefit from dedicated support services, flexible scheduling, or part-time study pathways.</w:t>
      </w:r>
    </w:p>
    <w:p w14:paraId="764FE713" w14:textId="77777777" w:rsidR="00B51668" w:rsidRDefault="00B51668">
      <w:pPr>
        <w:spacing w:after="100"/>
      </w:pPr>
    </w:p>
    <w:p w14:paraId="7260B4E4" w14:textId="77777777" w:rsidR="00B51668" w:rsidRDefault="003F5105">
      <w:pPr>
        <w:pStyle w:val="Heading2"/>
      </w:pPr>
      <w:r>
        <w:t>3.6 Evening Students Drop Out More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1668" w14:paraId="35D6F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8BBD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Attendance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7D57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Graduate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6ED6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Dropout Rate</w:t>
            </w:r>
          </w:p>
        </w:tc>
      </w:tr>
      <w:tr w:rsidR="00B51668" w14:paraId="1AF9D6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F071" w14:textId="77777777" w:rsidR="00B51668" w:rsidRDefault="003F5105">
            <w:r>
              <w:rPr>
                <w:sz w:val="20"/>
                <w:szCs w:val="20"/>
              </w:rPr>
              <w:t>Daytime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DD17" w14:textId="77777777" w:rsidR="00B51668" w:rsidRDefault="003F5105">
            <w:r>
              <w:rPr>
                <w:sz w:val="20"/>
                <w:szCs w:val="20"/>
              </w:rPr>
              <w:t>51.0%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A47B" w14:textId="77777777" w:rsidR="00B51668" w:rsidRDefault="003F5105">
            <w:r>
              <w:rPr>
                <w:sz w:val="20"/>
                <w:szCs w:val="20"/>
              </w:rPr>
              <w:t>30.8%</w:t>
            </w:r>
          </w:p>
        </w:tc>
      </w:tr>
      <w:tr w:rsidR="00B51668" w14:paraId="7F8AD4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DCB2" w14:textId="77777777" w:rsidR="00B51668" w:rsidRDefault="003F5105"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88D5" w14:textId="77777777" w:rsidR="00B51668" w:rsidRDefault="003F5105">
            <w:r>
              <w:rPr>
                <w:sz w:val="20"/>
                <w:szCs w:val="20"/>
              </w:rPr>
              <w:t>41.6%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2A13" w14:textId="77777777" w:rsidR="00B51668" w:rsidRDefault="003F5105">
            <w:r>
              <w:rPr>
                <w:sz w:val="20"/>
                <w:szCs w:val="20"/>
              </w:rPr>
              <w:t>42.9%</w:t>
            </w:r>
          </w:p>
        </w:tc>
      </w:tr>
    </w:tbl>
    <w:p w14:paraId="0C050670" w14:textId="77777777" w:rsidR="00B51668" w:rsidRDefault="00B51668">
      <w:pPr>
        <w:spacing w:after="100"/>
      </w:pPr>
    </w:p>
    <w:p w14:paraId="37D4B541" w14:textId="77777777" w:rsidR="00B51668" w:rsidRDefault="003F5105">
      <w:pPr>
        <w:spacing w:before="80" w:after="120"/>
      </w:pPr>
      <w:r>
        <w:t>Insight: Evening students drop out at 42.9% vs 30.8% for daytime students. Evening attendance typically indicates students who are working during the day — the combined pressure of work and study increases dropout risk significantly.</w:t>
      </w:r>
    </w:p>
    <w:p w14:paraId="763A4BC9" w14:textId="77777777" w:rsidR="00B51668" w:rsidRDefault="00B51668">
      <w:pPr>
        <w:spacing w:after="100"/>
      </w:pPr>
    </w:p>
    <w:p w14:paraId="357A61AB" w14:textId="77777777" w:rsidR="00B51668" w:rsidRDefault="003F5105">
      <w:pPr>
        <w:pStyle w:val="Heading2"/>
      </w:pPr>
      <w:r>
        <w:t>3.7 Macroeconomic Con</w:t>
      </w:r>
      <w:r>
        <w:t>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1668" w14:paraId="74F72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BC82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8378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Avg Unemployment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6DEE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Avg GDP</w:t>
            </w:r>
          </w:p>
        </w:tc>
      </w:tr>
      <w:tr w:rsidR="00B51668" w14:paraId="12587F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E8D7" w14:textId="77777777" w:rsidR="00B51668" w:rsidRDefault="003F5105">
            <w:r>
              <w:rPr>
                <w:sz w:val="20"/>
                <w:szCs w:val="20"/>
              </w:rPr>
              <w:t>Graduate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55E7" w14:textId="77777777" w:rsidR="00B51668" w:rsidRDefault="003F5105">
            <w:r>
              <w:rPr>
                <w:sz w:val="20"/>
                <w:szCs w:val="20"/>
              </w:rPr>
              <w:t>11.64%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3192" w14:textId="77777777" w:rsidR="00B51668" w:rsidRDefault="003F5105">
            <w:r>
              <w:rPr>
                <w:sz w:val="20"/>
                <w:szCs w:val="20"/>
              </w:rPr>
              <w:t>0.082</w:t>
            </w:r>
          </w:p>
        </w:tc>
      </w:tr>
      <w:tr w:rsidR="00B51668" w14:paraId="720BE8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2260" w14:textId="77777777" w:rsidR="00B51668" w:rsidRDefault="003F5105">
            <w:r>
              <w:rPr>
                <w:sz w:val="20"/>
                <w:szCs w:val="20"/>
              </w:rPr>
              <w:t>Enrolled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AD57" w14:textId="77777777" w:rsidR="00B51668" w:rsidRDefault="003F5105">
            <w:r>
              <w:rPr>
                <w:sz w:val="20"/>
                <w:szCs w:val="20"/>
              </w:rPr>
              <w:t>11.27%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D51A" w14:textId="77777777" w:rsidR="00B51668" w:rsidRDefault="003F5105">
            <w:r>
              <w:rPr>
                <w:sz w:val="20"/>
                <w:szCs w:val="20"/>
              </w:rPr>
              <w:t>0.053</w:t>
            </w:r>
          </w:p>
        </w:tc>
      </w:tr>
      <w:tr w:rsidR="00B51668" w14:paraId="0C1D85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C269" w14:textId="77777777" w:rsidR="00B51668" w:rsidRDefault="003F5105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239D" w14:textId="77777777" w:rsidR="00B51668" w:rsidRDefault="003F5105">
            <w:r>
              <w:rPr>
                <w:sz w:val="20"/>
                <w:szCs w:val="20"/>
              </w:rPr>
              <w:t>11.62%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2655" w14:textId="77777777" w:rsidR="00B51668" w:rsidRDefault="003F5105">
            <w:r>
              <w:rPr>
                <w:sz w:val="20"/>
                <w:szCs w:val="20"/>
              </w:rPr>
              <w:t>-0.151</w:t>
            </w:r>
          </w:p>
        </w:tc>
      </w:tr>
    </w:tbl>
    <w:p w14:paraId="638780B8" w14:textId="77777777" w:rsidR="00B51668" w:rsidRDefault="00B51668">
      <w:pPr>
        <w:spacing w:after="100"/>
      </w:pPr>
    </w:p>
    <w:p w14:paraId="606209FA" w14:textId="77777777" w:rsidR="00B51668" w:rsidRDefault="003F5105">
      <w:pPr>
        <w:spacing w:before="80" w:after="120"/>
      </w:pPr>
      <w:r>
        <w:t>Insight: Dropout students are associated with negative GDP periods (-0.151 vs +0.082 for graduates). During economic downturns, students may be forced to leave education to enter or re-enter the workforce. Unemployment rate alone shows little variation acr</w:t>
      </w:r>
      <w:r>
        <w:t>oss groups, suggesting GDP (overall economic health) is a more meaningful macroeconomic signal than unemployment rate for this dataset.</w:t>
      </w:r>
    </w:p>
    <w:p w14:paraId="2C25B4AE" w14:textId="77777777" w:rsidR="00B51668" w:rsidRDefault="00B51668">
      <w:pPr>
        <w:spacing w:after="200"/>
      </w:pPr>
    </w:p>
    <w:p w14:paraId="3D915087" w14:textId="77777777" w:rsidR="00B51668" w:rsidRDefault="003F5105">
      <w:r>
        <w:br w:type="page"/>
      </w:r>
    </w:p>
    <w:p w14:paraId="0ACB124E" w14:textId="77777777" w:rsidR="00B51668" w:rsidRDefault="003F5105">
      <w:pPr>
        <w:pStyle w:val="Heading1"/>
        <w:pBdr>
          <w:bottom w:val="single" w:sz="8" w:space="4" w:color="2E75B6"/>
        </w:pBdr>
      </w:pPr>
      <w:r>
        <w:lastRenderedPageBreak/>
        <w:t>4. Recommendations</w:t>
      </w:r>
    </w:p>
    <w:p w14:paraId="2B89E3D9" w14:textId="77777777" w:rsidR="00B51668" w:rsidRDefault="003F5105">
      <w:pPr>
        <w:spacing w:before="80" w:after="120"/>
      </w:pPr>
      <w:r>
        <w:t>Based on the analysis, the following evidence-based recommendations are proposed for institutional</w:t>
      </w:r>
      <w:r>
        <w:t xml:space="preserve"> stakeholders:</w:t>
      </w:r>
    </w:p>
    <w:p w14:paraId="63F6C76F" w14:textId="77777777" w:rsidR="00B51668" w:rsidRDefault="00B51668">
      <w:pPr>
        <w:spacing w:after="100"/>
      </w:pPr>
    </w:p>
    <w:p w14:paraId="0D4DD1BB" w14:textId="77777777" w:rsidR="00B51668" w:rsidRDefault="003F5105">
      <w:pPr>
        <w:spacing w:before="200" w:after="100"/>
      </w:pPr>
      <w:r>
        <w:rPr>
          <w:b/>
          <w:bCs/>
          <w:color w:val="1F4E79"/>
          <w:sz w:val="24"/>
          <w:szCs w:val="24"/>
        </w:rPr>
        <w:t>Recommendation 1: Deploy an Early Academic Alert System</w:t>
      </w:r>
    </w:p>
    <w:p w14:paraId="7D73B5B1" w14:textId="77777777" w:rsidR="00B51668" w:rsidRDefault="003F5105">
      <w:pPr>
        <w:spacing w:before="80" w:after="120"/>
      </w:pPr>
      <w:r>
        <w:t>Since Semester 1 grades and approved units are the clearest early predictors of dropout, institutions should implement an automated flagging system. Any student with a Semester 1 grade</w:t>
      </w:r>
      <w:r>
        <w:t xml:space="preserve"> below 9.0 or fewer than 3 approved units should automatically be referred to academic support services before Semester 2 begins.</w:t>
      </w:r>
    </w:p>
    <w:p w14:paraId="5B0E416F" w14:textId="77777777" w:rsidR="00B51668" w:rsidRDefault="00B51668">
      <w:pPr>
        <w:spacing w:after="100"/>
      </w:pPr>
    </w:p>
    <w:p w14:paraId="4CF11C29" w14:textId="77777777" w:rsidR="00B51668" w:rsidRDefault="003F5105">
      <w:pPr>
        <w:spacing w:before="200" w:after="100"/>
      </w:pPr>
      <w:r>
        <w:rPr>
          <w:b/>
          <w:bCs/>
          <w:color w:val="1F4E79"/>
          <w:sz w:val="24"/>
          <w:szCs w:val="24"/>
        </w:rPr>
        <w:t>Recommendation 2: Introduce Emergency Financial Assistance</w:t>
      </w:r>
    </w:p>
    <w:p w14:paraId="58D22CC1" w14:textId="77777777" w:rsidR="00B51668" w:rsidRDefault="003F5105">
      <w:pPr>
        <w:spacing w:before="80" w:after="120"/>
      </w:pPr>
      <w:r>
        <w:t>Students who fall behind on tuition fees have an 86.6% dropout rat</w:t>
      </w:r>
      <w:r>
        <w:t xml:space="preserve">e. An emergency bursary or fee deferral </w:t>
      </w:r>
      <w:proofErr w:type="spellStart"/>
      <w:r>
        <w:t>programme</w:t>
      </w:r>
      <w:proofErr w:type="spellEnd"/>
      <w:r>
        <w:t>, specifically targeted at students who miss a payment deadline, could prevent a significant proportion of financially-driven dropouts.</w:t>
      </w:r>
    </w:p>
    <w:p w14:paraId="120BDC7B" w14:textId="77777777" w:rsidR="00B51668" w:rsidRDefault="00B51668">
      <w:pPr>
        <w:spacing w:after="100"/>
      </w:pPr>
    </w:p>
    <w:p w14:paraId="6C161187" w14:textId="77777777" w:rsidR="00B51668" w:rsidRDefault="003F5105">
      <w:pPr>
        <w:spacing w:before="200" w:after="100"/>
      </w:pPr>
      <w:r>
        <w:rPr>
          <w:b/>
          <w:bCs/>
          <w:color w:val="1F4E79"/>
          <w:sz w:val="24"/>
          <w:szCs w:val="24"/>
        </w:rPr>
        <w:t>Recommendation 3: Expand Scholarship Coverage</w:t>
      </w:r>
    </w:p>
    <w:p w14:paraId="25AB66C0" w14:textId="77777777" w:rsidR="00B51668" w:rsidRDefault="003F5105">
      <w:pPr>
        <w:spacing w:before="80" w:after="120"/>
      </w:pPr>
      <w:r>
        <w:t>Scholarship holders graduate at 76% — nearly double the non-scholarship rate. Expanding the scholarship pool, with priority given to academically capable students showing early financial stress signals, would b</w:t>
      </w:r>
      <w:r>
        <w:t>e a high-return investment in student retention.</w:t>
      </w:r>
    </w:p>
    <w:p w14:paraId="3B918D38" w14:textId="77777777" w:rsidR="00B51668" w:rsidRDefault="00B51668">
      <w:pPr>
        <w:spacing w:after="100"/>
      </w:pPr>
    </w:p>
    <w:p w14:paraId="59E38365" w14:textId="77777777" w:rsidR="00B51668" w:rsidRDefault="003F5105">
      <w:pPr>
        <w:spacing w:before="200" w:after="100"/>
      </w:pPr>
      <w:r>
        <w:rPr>
          <w:b/>
          <w:bCs/>
          <w:color w:val="1F4E79"/>
          <w:sz w:val="24"/>
          <w:szCs w:val="24"/>
        </w:rPr>
        <w:t>Recommendation 4: Targeted Support for Male and Mature-Age Students</w:t>
      </w:r>
    </w:p>
    <w:p w14:paraId="0834A2AB" w14:textId="77777777" w:rsidR="00B51668" w:rsidRDefault="003F5105">
      <w:pPr>
        <w:spacing w:before="80" w:after="120"/>
      </w:pPr>
      <w:r>
        <w:t xml:space="preserve">Male students drop out at 45.1% and older students (mean age 26.1) are disproportionately represented among dropouts. Mentorship </w:t>
      </w:r>
      <w:proofErr w:type="spellStart"/>
      <w:r>
        <w:t>programme</w:t>
      </w:r>
      <w:r>
        <w:t>s</w:t>
      </w:r>
      <w:proofErr w:type="spellEnd"/>
      <w:r>
        <w:t>, peer support groups, and flexible study arrangements tailored to these demographics could meaningfully reduce their dropout rates.</w:t>
      </w:r>
    </w:p>
    <w:p w14:paraId="66513FF4" w14:textId="77777777" w:rsidR="00B51668" w:rsidRDefault="00B51668">
      <w:pPr>
        <w:spacing w:after="100"/>
      </w:pPr>
    </w:p>
    <w:p w14:paraId="560F5891" w14:textId="77777777" w:rsidR="00B51668" w:rsidRDefault="003F5105">
      <w:pPr>
        <w:spacing w:before="200" w:after="100"/>
      </w:pPr>
      <w:r>
        <w:rPr>
          <w:b/>
          <w:bCs/>
          <w:color w:val="1F4E79"/>
          <w:sz w:val="24"/>
          <w:szCs w:val="24"/>
        </w:rPr>
        <w:t>Recommendation 5: Dedicated Support for Evening Students</w:t>
      </w:r>
    </w:p>
    <w:p w14:paraId="25C5A638" w14:textId="77777777" w:rsidR="00B51668" w:rsidRDefault="003F5105">
      <w:pPr>
        <w:spacing w:before="80" w:after="120"/>
      </w:pPr>
      <w:r>
        <w:t>Evening students, who are likely working professionals, drop out</w:t>
      </w:r>
      <w:r>
        <w:t xml:space="preserve"> at 42.9%. Institutions should consider offering recorded lectures, extended assignment deadlines, and dedicated evening student advising to reduce the burden on this group.</w:t>
      </w:r>
    </w:p>
    <w:p w14:paraId="2A866945" w14:textId="77777777" w:rsidR="00B51668" w:rsidRDefault="00B51668">
      <w:pPr>
        <w:spacing w:after="200"/>
      </w:pPr>
    </w:p>
    <w:p w14:paraId="01813504" w14:textId="77777777" w:rsidR="00B51668" w:rsidRDefault="003F5105">
      <w:pPr>
        <w:pStyle w:val="Heading1"/>
        <w:pBdr>
          <w:bottom w:val="single" w:sz="8" w:space="4" w:color="2E75B6"/>
        </w:pBdr>
      </w:pPr>
      <w:r>
        <w:t>5. Tools &amp; 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51668" w14:paraId="6F2BA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8FBA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B209" w14:textId="77777777" w:rsidR="00B51668" w:rsidRDefault="003F510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51668" w14:paraId="50D237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4253" w14:textId="77777777" w:rsidR="00B51668" w:rsidRDefault="003F5105">
            <w:r>
              <w:rPr>
                <w:sz w:val="20"/>
                <w:szCs w:val="20"/>
              </w:rPr>
              <w:t>Python 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6A34" w14:textId="77777777" w:rsidR="00B51668" w:rsidRDefault="003F5105">
            <w:r>
              <w:rPr>
                <w:sz w:val="20"/>
                <w:szCs w:val="20"/>
              </w:rPr>
              <w:t>Core programming language for all analysis</w:t>
            </w:r>
          </w:p>
        </w:tc>
      </w:tr>
      <w:tr w:rsidR="00B51668" w14:paraId="17A761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496A" w14:textId="77777777" w:rsidR="00B51668" w:rsidRDefault="003F5105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30DC" w14:textId="77777777" w:rsidR="00B51668" w:rsidRDefault="003F5105">
            <w:r>
              <w:rPr>
                <w:sz w:val="20"/>
                <w:szCs w:val="20"/>
              </w:rPr>
              <w:t>Data loading, cleaning, transformation, and grouping</w:t>
            </w:r>
          </w:p>
        </w:tc>
      </w:tr>
      <w:tr w:rsidR="00B51668" w14:paraId="42A362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90CF" w14:textId="77777777" w:rsidR="00B51668" w:rsidRDefault="003F5105">
            <w:r>
              <w:rPr>
                <w:sz w:val="20"/>
                <w:szCs w:val="20"/>
              </w:rPr>
              <w:lastRenderedPageBreak/>
              <w:t>NumPy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1DBA" w14:textId="77777777" w:rsidR="00B51668" w:rsidRDefault="003F5105">
            <w:r>
              <w:rPr>
                <w:sz w:val="20"/>
                <w:szCs w:val="20"/>
              </w:rPr>
              <w:t>Numerical operations and outlier detection (IQR method)</w:t>
            </w:r>
          </w:p>
        </w:tc>
      </w:tr>
      <w:tr w:rsidR="00B51668" w14:paraId="3C75CF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510F" w14:textId="77777777" w:rsidR="00B51668" w:rsidRDefault="003F5105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7D3" w14:textId="77777777" w:rsidR="00B51668" w:rsidRDefault="003F5105">
            <w:r>
              <w:rPr>
                <w:sz w:val="20"/>
                <w:szCs w:val="20"/>
              </w:rPr>
              <w:t>Custom chart creation and styling</w:t>
            </w:r>
          </w:p>
        </w:tc>
      </w:tr>
      <w:tr w:rsidR="00B51668" w14:paraId="1151C2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CA28" w14:textId="77777777" w:rsidR="00B51668" w:rsidRDefault="003F5105">
            <w:r>
              <w:rPr>
                <w:sz w:val="20"/>
                <w:szCs w:val="20"/>
              </w:rPr>
              <w:t>seaborn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13C9" w14:textId="77777777" w:rsidR="00B51668" w:rsidRDefault="003F5105">
            <w:r>
              <w:rPr>
                <w:sz w:val="20"/>
                <w:szCs w:val="20"/>
              </w:rPr>
              <w:t>Correlation heatmap and distribution plots</w:t>
            </w:r>
          </w:p>
        </w:tc>
      </w:tr>
      <w:tr w:rsidR="00B51668" w14:paraId="7654EC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7EC7" w14:textId="77777777" w:rsidR="00B51668" w:rsidRDefault="003F5105"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3F09" w14:textId="77777777" w:rsidR="00B51668" w:rsidRDefault="003F5105">
            <w:r>
              <w:rPr>
                <w:sz w:val="20"/>
                <w:szCs w:val="20"/>
              </w:rPr>
              <w:t>Interactive analysis environment and documentation</w:t>
            </w:r>
          </w:p>
        </w:tc>
      </w:tr>
    </w:tbl>
    <w:p w14:paraId="32F72A23" w14:textId="77777777" w:rsidR="00B51668" w:rsidRDefault="00B51668">
      <w:pPr>
        <w:spacing w:after="200"/>
      </w:pPr>
    </w:p>
    <w:p w14:paraId="4F185C0D" w14:textId="77777777" w:rsidR="00B51668" w:rsidRDefault="003F5105">
      <w:pPr>
        <w:pStyle w:val="Heading1"/>
        <w:pBdr>
          <w:bottom w:val="single" w:sz="8" w:space="4" w:color="2E75B6"/>
        </w:pBdr>
      </w:pPr>
      <w:r>
        <w:t>6. Conclusion</w:t>
      </w:r>
    </w:p>
    <w:p w14:paraId="749048AB" w14:textId="77777777" w:rsidR="00B51668" w:rsidRDefault="003F5105">
      <w:pPr>
        <w:spacing w:before="80" w:after="120"/>
      </w:pPr>
      <w:r>
        <w:t xml:space="preserve">This analysis demonstrates that student dropout is not a random or unpredictable event — it follows clear, detectable patterns rooted in early academic performance and financial circumstances. With the right data infrastructure and institutional will, the </w:t>
      </w:r>
      <w:r>
        <w:t>majority of at-risk students could be identified and supported before they make the decision to leave.</w:t>
      </w:r>
    </w:p>
    <w:p w14:paraId="5E40C22E" w14:textId="77777777" w:rsidR="00B51668" w:rsidRDefault="00B51668">
      <w:pPr>
        <w:spacing w:after="100"/>
      </w:pPr>
    </w:p>
    <w:p w14:paraId="0410287D" w14:textId="74FE1C9D" w:rsidR="003F5105" w:rsidRDefault="003F5105" w:rsidP="004A1AA1">
      <w:pPr>
        <w:spacing w:before="80" w:after="120"/>
      </w:pPr>
      <w:r>
        <w:t>The most impactful single intervention would be combining early academic monitoring (flagging students after Semester 1 results) with financial safety n</w:t>
      </w:r>
      <w:r>
        <w:t>ets (tuition deferral and expanded scholarships). Together, these two levers address both of the strongest dropout drivers found in this analysis.</w:t>
      </w:r>
    </w:p>
    <w:sectPr w:rsidR="003F51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74EAD"/>
    <w:multiLevelType w:val="hybridMultilevel"/>
    <w:tmpl w:val="120A4C7E"/>
    <w:lvl w:ilvl="0" w:tplc="FBDE1872">
      <w:start w:val="1"/>
      <w:numFmt w:val="decimal"/>
      <w:lvlText w:val="%1."/>
      <w:lvlJc w:val="left"/>
      <w:pPr>
        <w:ind w:left="720" w:hanging="360"/>
      </w:pPr>
    </w:lvl>
    <w:lvl w:ilvl="1" w:tplc="3948DD9A">
      <w:numFmt w:val="decimal"/>
      <w:lvlText w:val=""/>
      <w:lvlJc w:val="left"/>
    </w:lvl>
    <w:lvl w:ilvl="2" w:tplc="120CB9CE">
      <w:numFmt w:val="decimal"/>
      <w:lvlText w:val=""/>
      <w:lvlJc w:val="left"/>
    </w:lvl>
    <w:lvl w:ilvl="3" w:tplc="8852371C">
      <w:numFmt w:val="decimal"/>
      <w:lvlText w:val=""/>
      <w:lvlJc w:val="left"/>
    </w:lvl>
    <w:lvl w:ilvl="4" w:tplc="A7060088">
      <w:numFmt w:val="decimal"/>
      <w:lvlText w:val=""/>
      <w:lvlJc w:val="left"/>
    </w:lvl>
    <w:lvl w:ilvl="5" w:tplc="B3C87980">
      <w:numFmt w:val="decimal"/>
      <w:lvlText w:val=""/>
      <w:lvlJc w:val="left"/>
    </w:lvl>
    <w:lvl w:ilvl="6" w:tplc="C02841DA">
      <w:numFmt w:val="decimal"/>
      <w:lvlText w:val=""/>
      <w:lvlJc w:val="left"/>
    </w:lvl>
    <w:lvl w:ilvl="7" w:tplc="D376FBEA">
      <w:numFmt w:val="decimal"/>
      <w:lvlText w:val=""/>
      <w:lvlJc w:val="left"/>
    </w:lvl>
    <w:lvl w:ilvl="8" w:tplc="CDEA148E">
      <w:numFmt w:val="decimal"/>
      <w:lvlText w:val=""/>
      <w:lvlJc w:val="left"/>
    </w:lvl>
  </w:abstractNum>
  <w:abstractNum w:abstractNumId="1" w15:restartNumberingAfterBreak="0">
    <w:nsid w:val="31BF2406"/>
    <w:multiLevelType w:val="hybridMultilevel"/>
    <w:tmpl w:val="5F084020"/>
    <w:lvl w:ilvl="0" w:tplc="7186A430">
      <w:start w:val="1"/>
      <w:numFmt w:val="bullet"/>
      <w:lvlText w:val="•"/>
      <w:lvlJc w:val="left"/>
      <w:pPr>
        <w:ind w:left="720" w:hanging="360"/>
      </w:pPr>
    </w:lvl>
    <w:lvl w:ilvl="1" w:tplc="5234EBE8">
      <w:numFmt w:val="decimal"/>
      <w:lvlText w:val=""/>
      <w:lvlJc w:val="left"/>
    </w:lvl>
    <w:lvl w:ilvl="2" w:tplc="A880B69C">
      <w:numFmt w:val="decimal"/>
      <w:lvlText w:val=""/>
      <w:lvlJc w:val="left"/>
    </w:lvl>
    <w:lvl w:ilvl="3" w:tplc="0E681AE0">
      <w:numFmt w:val="decimal"/>
      <w:lvlText w:val=""/>
      <w:lvlJc w:val="left"/>
    </w:lvl>
    <w:lvl w:ilvl="4" w:tplc="42088C04">
      <w:numFmt w:val="decimal"/>
      <w:lvlText w:val=""/>
      <w:lvlJc w:val="left"/>
    </w:lvl>
    <w:lvl w:ilvl="5" w:tplc="D99CF7F4">
      <w:numFmt w:val="decimal"/>
      <w:lvlText w:val=""/>
      <w:lvlJc w:val="left"/>
    </w:lvl>
    <w:lvl w:ilvl="6" w:tplc="E8B05222">
      <w:numFmt w:val="decimal"/>
      <w:lvlText w:val=""/>
      <w:lvlJc w:val="left"/>
    </w:lvl>
    <w:lvl w:ilvl="7" w:tplc="56B007A6">
      <w:numFmt w:val="decimal"/>
      <w:lvlText w:val=""/>
      <w:lvlJc w:val="left"/>
    </w:lvl>
    <w:lvl w:ilvl="8" w:tplc="C1DED79C">
      <w:numFmt w:val="decimal"/>
      <w:lvlText w:val=""/>
      <w:lvlJc w:val="left"/>
    </w:lvl>
  </w:abstractNum>
  <w:abstractNum w:abstractNumId="2" w15:restartNumberingAfterBreak="0">
    <w:nsid w:val="6B7950DE"/>
    <w:multiLevelType w:val="hybridMultilevel"/>
    <w:tmpl w:val="1BBA3816"/>
    <w:lvl w:ilvl="0" w:tplc="2E861E70">
      <w:start w:val="1"/>
      <w:numFmt w:val="bullet"/>
      <w:lvlText w:val="●"/>
      <w:lvlJc w:val="left"/>
      <w:pPr>
        <w:ind w:left="720" w:hanging="360"/>
      </w:pPr>
    </w:lvl>
    <w:lvl w:ilvl="1" w:tplc="00BCADA6">
      <w:start w:val="1"/>
      <w:numFmt w:val="bullet"/>
      <w:lvlText w:val="○"/>
      <w:lvlJc w:val="left"/>
      <w:pPr>
        <w:ind w:left="1440" w:hanging="360"/>
      </w:pPr>
    </w:lvl>
    <w:lvl w:ilvl="2" w:tplc="3ECA3484">
      <w:start w:val="1"/>
      <w:numFmt w:val="bullet"/>
      <w:lvlText w:val="■"/>
      <w:lvlJc w:val="left"/>
      <w:pPr>
        <w:ind w:left="2160" w:hanging="360"/>
      </w:pPr>
    </w:lvl>
    <w:lvl w:ilvl="3" w:tplc="0340E764">
      <w:start w:val="1"/>
      <w:numFmt w:val="bullet"/>
      <w:lvlText w:val="●"/>
      <w:lvlJc w:val="left"/>
      <w:pPr>
        <w:ind w:left="2880" w:hanging="360"/>
      </w:pPr>
    </w:lvl>
    <w:lvl w:ilvl="4" w:tplc="806AECE8">
      <w:start w:val="1"/>
      <w:numFmt w:val="bullet"/>
      <w:lvlText w:val="○"/>
      <w:lvlJc w:val="left"/>
      <w:pPr>
        <w:ind w:left="3600" w:hanging="360"/>
      </w:pPr>
    </w:lvl>
    <w:lvl w:ilvl="5" w:tplc="350ECB8C">
      <w:start w:val="1"/>
      <w:numFmt w:val="bullet"/>
      <w:lvlText w:val="■"/>
      <w:lvlJc w:val="left"/>
      <w:pPr>
        <w:ind w:left="4320" w:hanging="360"/>
      </w:pPr>
    </w:lvl>
    <w:lvl w:ilvl="6" w:tplc="4580A1CC">
      <w:start w:val="1"/>
      <w:numFmt w:val="bullet"/>
      <w:lvlText w:val="●"/>
      <w:lvlJc w:val="left"/>
      <w:pPr>
        <w:ind w:left="5040" w:hanging="360"/>
      </w:pPr>
    </w:lvl>
    <w:lvl w:ilvl="7" w:tplc="AA8AFCC0">
      <w:start w:val="1"/>
      <w:numFmt w:val="bullet"/>
      <w:lvlText w:val="●"/>
      <w:lvlJc w:val="left"/>
      <w:pPr>
        <w:ind w:left="5760" w:hanging="360"/>
      </w:pPr>
    </w:lvl>
    <w:lvl w:ilvl="8" w:tplc="1842E0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668"/>
    <w:rsid w:val="003F5105"/>
    <w:rsid w:val="004A1AA1"/>
    <w:rsid w:val="00B5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B17F"/>
  <w15:docId w15:val="{D73E7AF1-6B4F-44C6-A055-8BEA49BD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1390</Words>
  <Characters>7923</Characters>
  <Application>Microsoft Office Word</Application>
  <DocSecurity>0</DocSecurity>
  <Lines>66</Lines>
  <Paragraphs>18</Paragraphs>
  <ScaleCrop>false</ScaleCrop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olalekan lawal</cp:lastModifiedBy>
  <cp:revision>2</cp:revision>
  <dcterms:created xsi:type="dcterms:W3CDTF">2026-06-05T16:34:00Z</dcterms:created>
  <dcterms:modified xsi:type="dcterms:W3CDTF">2026-06-05T18:11:00Z</dcterms:modified>
</cp:coreProperties>
</file>