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Doc20251012664501: Investment Analysis</w:t>
      </w:r>
    </w:p>
    <w:p>
      <w:pPr>
        <w:spacing w:before="120" w:after="120"/>
        <w:pBdr>
          <w:bottom w:val="single" w:sz="6" w:space="1" w:color="2E86AB"/>
        </w:pBdr>
      </w:pPr>
    </w:p>
    <w:p>
      <w:r>
        <w:rPr>
          <w:b/>
          <w:color w:val="5A5A5A"/>
          <w:sz w:val="22"/>
        </w:rPr>
        <w:t xml:space="preserve">Sector: </w:t>
      </w:r>
      <w:r>
        <w:rPr>
          <w:color w:val="2D2D2D"/>
          <w:sz w:val="22"/>
        </w:rPr>
        <w:t>Unknown</w:t>
      </w:r>
    </w:p>
    <w:p>
      <w:r>
        <w:rPr>
          <w:b/>
          <w:color w:val="5A5A5A"/>
          <w:sz w:val="22"/>
        </w:rPr>
        <w:t xml:space="preserve">Processed At: </w:t>
      </w:r>
      <w:r>
        <w:rPr>
          <w:color w:val="2D2D2D"/>
          <w:sz w:val="22"/>
        </w:rPr>
        <w:t>2026-03-15T09:02:37.005575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Investment Signals</w:t>
      </w:r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t>Pitch Brief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86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3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