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Realty Bytes May 2025: Investment Analysis</w:t>
      </w:r>
    </w:p>
    <w:p>
      <w:pPr>
        <w:spacing w:before="120" w:after="120"/>
        <w:pBdr>
          <w:bottom w:val="single" w:sz="6" w:space="1" w:color="2E86AB"/>
        </w:pBdr>
      </w:pPr>
    </w:p>
    <w:p>
      <w:r>
        <w:rPr>
          <w:b/>
          <w:color w:val="5A5A5A"/>
          <w:sz w:val="22"/>
        </w:rPr>
        <w:t xml:space="preserve">Sector: </w:t>
      </w:r>
      <w:r>
        <w:rPr>
          <w:color w:val="2D2D2D"/>
          <w:sz w:val="22"/>
        </w:rPr>
        <w:t>Unknown</w:t>
      </w:r>
    </w:p>
    <w:p>
      <w:r>
        <w:rPr>
          <w:b/>
          <w:color w:val="5A5A5A"/>
          <w:sz w:val="22"/>
        </w:rPr>
        <w:t xml:space="preserve">Processed At: </w:t>
      </w:r>
      <w:r>
        <w:rPr>
          <w:color w:val="2D2D2D"/>
          <w:sz w:val="22"/>
        </w:rPr>
        <w:t>2026-03-15T09:34:24.440471</w:t>
      </w:r>
    </w:p>
    <w:p>
      <w:pPr>
        <w:spacing w:before="120" w:after="120"/>
        <w:pBdr>
          <w:bottom w:val="single" w:sz="6" w:space="1" w:color="2E86AB"/>
        </w:pBdr>
      </w:pPr>
    </w:p>
    <w:p>
      <w:pPr>
        <w:pStyle w:val="Heading1"/>
      </w:pPr>
      <w:r>
        <w:t>Investment Signals</w:t>
      </w:r>
    </w:p>
    <w:p>
      <w:r>
        <w:rPr>
          <w:b/>
          <w:color w:val="5A5A5A"/>
          <w:sz w:val="22"/>
        </w:rPr>
        <w:t xml:space="preserve">Report Title: </w:t>
      </w:r>
      <w:r>
        <w:rPr>
          <w:color w:val="2D2D2D"/>
          <w:sz w:val="22"/>
        </w:rPr>
        <w:t>India Real Estate Report FY 2025-26: Trends, Insights &amp; Forecasts</w:t>
      </w:r>
    </w:p>
    <w:p>
      <w:r>
        <w:rPr>
          <w:b/>
          <w:color w:val="5A5A5A"/>
          <w:sz w:val="22"/>
        </w:rPr>
        <w:t xml:space="preserve">Report Date: </w:t>
      </w:r>
      <w:r>
        <w:rPr>
          <w:color w:val="2D2D2D"/>
          <w:sz w:val="22"/>
        </w:rPr>
        <w:t>Not explicitly stated, covers FY 2025-26 forecast</w:t>
      </w:r>
    </w:p>
    <w:p>
      <w:r>
        <w:rPr>
          <w:b/>
          <w:color w:val="5A5A5A"/>
          <w:sz w:val="22"/>
        </w:rPr>
        <w:t xml:space="preserve">Data Source: </w:t>
      </w:r>
      <w:r>
        <w:rPr>
          <w:color w:val="2D2D2D"/>
          <w:sz w:val="22"/>
        </w:rPr>
        <w:t>Grant Thornton Bharat (primary research firm), utilizing data from Square Yards and Grant Thornton Bharat Dealtracker.</w:t>
      </w:r>
    </w:p>
    <w:p>
      <w:pPr>
        <w:spacing w:before="120" w:after="120"/>
        <w:pBdr>
          <w:bottom w:val="single" w:sz="6" w:space="1" w:color="2E86AB"/>
        </w:pBdr>
      </w:pPr>
    </w:p>
    <w:p>
      <w:pPr>
        <w:pStyle w:val="Heading2"/>
      </w:pPr>
      <w:r>
        <w:t>1. Executive Summary</w:t>
      </w:r>
    </w:p>
    <w:p>
      <w:r>
        <w:t>The Indian real estate sector demonstrates strong resilience and is poised for sustained momentum in FY2025-26, driven by structural reforms, rapid urbanization, and evolving consumer aspirations. Despite global uncertainties, it continues to attract significant domestic and international investment, transitioning towards technology-driven, sustainable, and institutionalized growth.</w:t>
      </w:r>
    </w:p>
    <w:p>
      <w:pPr>
        <w:pStyle w:val="ListBullet"/>
        <w:spacing w:after="60"/>
        <w:ind w:left="720"/>
      </w:pPr>
      <w:r>
        <w:rPr>
          <w:color w:val="2D2D2D"/>
          <w:sz w:val="21"/>
        </w:rPr>
      </w:r>
      <w:r>
        <w:rPr>
          <w:b/>
          <w:color w:val="1A3C6E"/>
          <w:sz w:val="21"/>
        </w:rPr>
        <w:t xml:space="preserve">Residential market rebound: Total residential sales in major cities surged by nearly </w:t>
      </w:r>
      <w:r>
        <w:rPr>
          <w:color w:val="2D2D2D"/>
          <w:sz w:val="21"/>
        </w:rPr>
        <w:t>77%</w:t>
      </w:r>
      <w:r>
        <w:rPr>
          <w:b/>
          <w:color w:val="1A3C6E"/>
          <w:sz w:val="21"/>
        </w:rPr>
        <w:t xml:space="preserve"> from FY 2019 to FY 2025.</w:t>
      </w:r>
      <w:r>
        <w:rPr>
          <w:color w:val="2D2D2D"/>
          <w:sz w:val="21"/>
        </w:rPr>
      </w:r>
    </w:p>
    <w:p>
      <w:pPr>
        <w:pStyle w:val="ListBullet"/>
        <w:spacing w:after="60"/>
        <w:ind w:left="720"/>
      </w:pPr>
      <w:r>
        <w:rPr>
          <w:color w:val="2D2D2D"/>
          <w:sz w:val="21"/>
        </w:rPr>
      </w:r>
      <w:r>
        <w:rPr>
          <w:b/>
          <w:color w:val="1A3C6E"/>
          <w:sz w:val="21"/>
        </w:rPr>
        <w:t xml:space="preserve">Robust investment activity: The sector recorded </w:t>
      </w:r>
      <w:r>
        <w:rPr>
          <w:color w:val="2D2D2D"/>
          <w:sz w:val="21"/>
        </w:rPr>
        <w:t>99 transactions</w:t>
      </w:r>
      <w:r>
        <w:rPr>
          <w:b/>
          <w:color w:val="1A3C6E"/>
          <w:sz w:val="21"/>
        </w:rPr>
        <w:t xml:space="preserve"> with a combined value of around </w:t>
      </w:r>
      <w:r>
        <w:rPr>
          <w:color w:val="2D2D2D"/>
          <w:sz w:val="21"/>
        </w:rPr>
        <w:t>USD 6.99 billion</w:t>
      </w:r>
      <w:r>
        <w:rPr>
          <w:b/>
          <w:color w:val="1A3C6E"/>
          <w:sz w:val="21"/>
        </w:rPr>
        <w:t xml:space="preserve"> in FY 2024–25.</w:t>
      </w:r>
      <w:r>
        <w:rPr>
          <w:color w:val="2D2D2D"/>
          <w:sz w:val="21"/>
        </w:rPr>
      </w:r>
    </w:p>
    <w:p>
      <w:pPr>
        <w:pStyle w:val="ListBullet"/>
        <w:spacing w:after="60"/>
        <w:ind w:left="720"/>
      </w:pPr>
      <w:r>
        <w:rPr>
          <w:color w:val="2D2D2D"/>
          <w:sz w:val="21"/>
        </w:rPr>
      </w:r>
      <w:r>
        <w:rPr>
          <w:b/>
          <w:color w:val="1A3C6E"/>
          <w:sz w:val="21"/>
        </w:rPr>
        <w:t>Office leasing hitting record levels: Demand surged in FY2025, driven by GCCs, IT/ITES, e-commerce, and flexible workspaces.</w:t>
      </w:r>
      <w:r>
        <w:rPr>
          <w:color w:val="2D2D2D"/>
          <w:sz w:val="21"/>
        </w:rPr>
      </w:r>
    </w:p>
    <w:p>
      <w:pPr>
        <w:spacing w:before="80" w:after="80"/>
        <w:ind w:left="567"/>
        <w:pBdr>
          <w:left w:val="single" w:sz="12" w:space="4" w:color="2E86AB"/>
        </w:pBdr>
      </w:pPr>
      <w:r>
        <w:rPr>
          <w:color w:val="5A5A5A"/>
        </w:rPr>
      </w:r>
      <w:r>
        <w:rPr>
          <w:b/>
          <w:color w:val="2E86AB"/>
        </w:rPr>
        <w:t>Headline Metric:</w:t>
      </w:r>
      <w:r>
        <w:rPr>
          <w:color w:val="5A5A5A"/>
        </w:rPr>
        <w:t xml:space="preserve"> Total residential sales in major cities surged by nearly </w:t>
      </w:r>
      <w:r>
        <w:rPr>
          <w:b/>
          <w:color w:val="2E86AB"/>
        </w:rPr>
        <w:t>77%</w:t>
      </w:r>
      <w:r>
        <w:rPr>
          <w:color w:val="5A5A5A"/>
        </w:rPr>
        <w:t xml:space="preserve"> from FY 2019 to FY 2025.</w:t>
      </w:r>
    </w:p>
    <w:p>
      <w:pPr>
        <w:spacing w:before="120" w:after="120"/>
        <w:pBdr>
          <w:bottom w:val="single" w:sz="6" w:space="1" w:color="2E86AB"/>
        </w:pBdr>
      </w:pPr>
    </w:p>
    <w:p>
      <w:pPr>
        <w:pStyle w:val="Heading2"/>
      </w:pPr>
      <w:r>
        <w:t>2. Market Opportunity</w:t>
      </w:r>
    </w:p>
    <w:p>
      <w:r>
        <w:t>India's real estate sector offers significant investment potential across diverse asset classes, fueled by strong demand, institutional capital, and technological advancements.</w:t>
      </w:r>
    </w:p>
    <w:p>
      <w:pPr>
        <w:pStyle w:val="ListBullet"/>
        <w:spacing w:after="60"/>
        <w:ind w:left="720"/>
      </w:pPr>
      <w:r>
        <w:rPr>
          <w:color w:val="2D2D2D"/>
          <w:sz w:val="21"/>
        </w:rPr>
      </w:r>
      <w:r>
        <w:rPr>
          <w:b/>
          <w:color w:val="1A3C6E"/>
          <w:sz w:val="21"/>
        </w:rPr>
        <w:t>Residential Sales Growth (FY19-FY25):</w:t>
      </w:r>
      <w:r>
        <w:rPr>
          <w:color w:val="2D2D2D"/>
          <w:sz w:val="21"/>
        </w:rPr>
        <w:t xml:space="preserve"> </w:t>
      </w:r>
      <w:r>
        <w:rPr>
          <w:b/>
          <w:color w:val="1A3C6E"/>
          <w:sz w:val="21"/>
        </w:rPr>
      </w:r>
      <w:r>
        <w:rPr>
          <w:color w:val="2D2D2D"/>
          <w:sz w:val="21"/>
        </w:rPr>
        <w:t>77%</w:t>
      </w:r>
      <w:r>
        <w:rPr>
          <w:b/>
          <w:color w:val="1A3C6E"/>
          <w:sz w:val="21"/>
        </w:rPr>
      </w:r>
      <w:r>
        <w:rPr>
          <w:color w:val="2D2D2D"/>
          <w:sz w:val="21"/>
        </w:rPr>
        <w:t xml:space="preserve"> — Surge in total residential sales in major cities, reflecting buyer confidence.</w:t>
      </w:r>
    </w:p>
    <w:p>
      <w:pPr>
        <w:pStyle w:val="ListBullet"/>
        <w:spacing w:after="60"/>
        <w:ind w:left="720"/>
      </w:pPr>
      <w:r>
        <w:rPr>
          <w:color w:val="2D2D2D"/>
          <w:sz w:val="21"/>
        </w:rPr>
      </w:r>
      <w:r>
        <w:rPr>
          <w:b/>
          <w:color w:val="1A3C6E"/>
          <w:sz w:val="21"/>
        </w:rPr>
        <w:t>Total Investment Value (FY24-25):</w:t>
      </w:r>
      <w:r>
        <w:rPr>
          <w:color w:val="2D2D2D"/>
          <w:sz w:val="21"/>
        </w:rPr>
        <w:t xml:space="preserve"> </w:t>
      </w:r>
      <w:r>
        <w:rPr>
          <w:b/>
          <w:color w:val="1A3C6E"/>
          <w:sz w:val="21"/>
        </w:rPr>
      </w:r>
      <w:r>
        <w:rPr>
          <w:color w:val="2D2D2D"/>
          <w:sz w:val="21"/>
        </w:rPr>
        <w:t>USD 6.99 billion</w:t>
      </w:r>
      <w:r>
        <w:rPr>
          <w:b/>
          <w:color w:val="1A3C6E"/>
          <w:sz w:val="21"/>
        </w:rPr>
      </w:r>
      <w:r>
        <w:rPr>
          <w:color w:val="2D2D2D"/>
          <w:sz w:val="21"/>
        </w:rPr>
        <w:t xml:space="preserve"> — Across 99 transactions, demonstrating robust investor interest despite macroeconomic challenges.</w:t>
      </w:r>
    </w:p>
    <w:p>
      <w:pPr>
        <w:pStyle w:val="ListBullet"/>
        <w:spacing w:after="60"/>
        <w:ind w:left="720"/>
      </w:pPr>
      <w:r>
        <w:rPr>
          <w:color w:val="2D2D2D"/>
          <w:sz w:val="21"/>
        </w:rPr>
      </w:r>
      <w:r>
        <w:rPr>
          <w:b/>
          <w:color w:val="1A3C6E"/>
          <w:sz w:val="21"/>
        </w:rPr>
        <w:t>Private Equity Investment (FY24-25):</w:t>
      </w:r>
      <w:r>
        <w:rPr>
          <w:color w:val="2D2D2D"/>
          <w:sz w:val="21"/>
        </w:rPr>
        <w:t xml:space="preserve"> </w:t>
      </w:r>
      <w:r>
        <w:rPr>
          <w:b/>
          <w:color w:val="1A3C6E"/>
          <w:sz w:val="21"/>
        </w:rPr>
      </w:r>
      <w:r>
        <w:rPr>
          <w:color w:val="2D2D2D"/>
          <w:sz w:val="21"/>
        </w:rPr>
        <w:t>USD 3.15 billion</w:t>
      </w:r>
      <w:r>
        <w:rPr>
          <w:b/>
          <w:color w:val="1A3C6E"/>
          <w:sz w:val="21"/>
        </w:rPr>
      </w:r>
      <w:r>
        <w:rPr>
          <w:color w:val="2D2D2D"/>
          <w:sz w:val="21"/>
        </w:rPr>
        <w:t xml:space="preserve"> — Dominant funding channel, accounting for nearly half of overall investment activity across 48 transactions.</w:t>
      </w:r>
    </w:p>
    <w:p>
      <w:pPr>
        <w:pStyle w:val="ListBullet"/>
        <w:spacing w:after="60"/>
        <w:ind w:left="720"/>
      </w:pPr>
      <w:r>
        <w:rPr>
          <w:color w:val="2D2D2D"/>
          <w:sz w:val="21"/>
        </w:rPr>
      </w:r>
      <w:r>
        <w:rPr>
          <w:b/>
          <w:color w:val="1A3C6E"/>
          <w:sz w:val="21"/>
        </w:rPr>
        <w:t>Public Market Capital Raise (FY24-25):</w:t>
      </w:r>
      <w:r>
        <w:rPr>
          <w:color w:val="2D2D2D"/>
          <w:sz w:val="21"/>
        </w:rPr>
        <w:t xml:space="preserve"> </w:t>
      </w:r>
      <w:r>
        <w:rPr>
          <w:b/>
          <w:color w:val="1A3C6E"/>
          <w:sz w:val="21"/>
        </w:rPr>
      </w:r>
      <w:r>
        <w:rPr>
          <w:color w:val="2D2D2D"/>
          <w:sz w:val="21"/>
        </w:rPr>
        <w:t>USD 2.99 billion</w:t>
      </w:r>
      <w:r>
        <w:rPr>
          <w:b/>
          <w:color w:val="1A3C6E"/>
          <w:sz w:val="21"/>
        </w:rPr>
      </w:r>
      <w:r>
        <w:rPr>
          <w:color w:val="2D2D2D"/>
          <w:sz w:val="21"/>
        </w:rPr>
        <w:t xml:space="preserve"> — Raised through IPOs and QIPs, signaling strong capital markets support for the sector.</w:t>
      </w:r>
    </w:p>
    <w:p>
      <w:pPr>
        <w:pStyle w:val="ListBullet"/>
        <w:spacing w:after="60"/>
        <w:ind w:left="720"/>
      </w:pPr>
      <w:r>
        <w:rPr>
          <w:color w:val="2D2D2D"/>
          <w:sz w:val="21"/>
        </w:rPr>
      </w:r>
      <w:r>
        <w:rPr>
          <w:b/>
          <w:color w:val="1A3C6E"/>
          <w:sz w:val="21"/>
        </w:rPr>
        <w:t>REIT Market Share:</w:t>
      </w:r>
      <w:r>
        <w:rPr>
          <w:color w:val="2D2D2D"/>
          <w:sz w:val="21"/>
        </w:rPr>
        <w:t xml:space="preserve"> </w:t>
      </w:r>
      <w:r>
        <w:rPr>
          <w:b/>
          <w:color w:val="1A3C6E"/>
          <w:sz w:val="21"/>
        </w:rPr>
        <w:t xml:space="preserve">Over </w:t>
      </w:r>
      <w:r>
        <w:rPr>
          <w:color w:val="2D2D2D"/>
          <w:sz w:val="21"/>
        </w:rPr>
        <w:t>9%</w:t>
      </w:r>
      <w:r>
        <w:rPr>
          <w:b/>
          <w:color w:val="1A3C6E"/>
          <w:sz w:val="21"/>
        </w:rPr>
      </w:r>
      <w:r>
        <w:rPr>
          <w:color w:val="2D2D2D"/>
          <w:sz w:val="21"/>
        </w:rPr>
        <w:t xml:space="preserve"> — Represents the share of total office stock across the top eight cities, indicating maturity and institutionalization.</w:t>
      </w:r>
    </w:p>
    <w:p>
      <w:pPr>
        <w:spacing w:before="120" w:after="120"/>
        <w:pBdr>
          <w:bottom w:val="single" w:sz="6" w:space="1" w:color="2E86AB"/>
        </w:pBdr>
      </w:pPr>
    </w:p>
    <w:p>
      <w:pPr>
        <w:pStyle w:val="Heading2"/>
      </w:pPr>
      <w:r>
        <w:t>3. Key Trends</w:t>
      </w:r>
    </w:p>
    <w:p>
      <w:pPr>
        <w:pStyle w:val="Heading3"/>
      </w:pPr>
      <w:r>
        <w:t>1. Shift to Premium &amp; Lifestyle Housing</w:t>
      </w:r>
    </w:p>
    <w:p>
      <w:r>
        <w:t>Rising incomes and evolving aspirations are driving demand for higher-end, lifestyle-centric homes, moving beyond basic affordability.</w:t>
      </w:r>
    </w:p>
    <w:p>
      <w:r/>
      <w:r>
        <w:rPr>
          <w:b/>
        </w:rPr>
        <w:t>Key Data Points</w:t>
      </w:r>
      <w:r/>
    </w:p>
    <w:p>
      <w:pPr>
        <w:pStyle w:val="ListBullet"/>
        <w:spacing w:after="60"/>
        <w:ind w:left="720"/>
      </w:pPr>
      <w:r>
        <w:rPr>
          <w:color w:val="2D2D2D"/>
          <w:sz w:val="21"/>
        </w:rPr>
        <w:t>Luxury housing (above INR 1 crore) surged from 2019 to 2025.</w:t>
      </w:r>
    </w:p>
    <w:p>
      <w:pPr>
        <w:pStyle w:val="ListBullet"/>
        <w:spacing w:after="60"/>
        <w:ind w:left="720"/>
      </w:pPr>
      <w:r>
        <w:rPr>
          <w:color w:val="2D2D2D"/>
          <w:sz w:val="21"/>
        </w:rPr>
        <w:t>End-users are demanding smarter, more sustainable, and lifestyle-driven spaces.</w:t>
      </w:r>
    </w:p>
    <w:p>
      <w:pPr>
        <w:pStyle w:val="Heading3"/>
      </w:pPr>
      <w:r>
        <w:t>2. Technology Integration (PropTech)</w:t>
      </w:r>
    </w:p>
    <w:p>
      <w:r>
        <w:t>Advanced technologies like AI, blockchain, IoT, and VR/AR are revolutionizing property transactions, management, and customer experience, enhancing transparency and efficiency.</w:t>
      </w:r>
    </w:p>
    <w:p>
      <w:r/>
      <w:r>
        <w:rPr>
          <w:b/>
        </w:rPr>
        <w:t>Key Data Points</w:t>
      </w:r>
      <w:r/>
    </w:p>
    <w:p>
      <w:pPr>
        <w:pStyle w:val="ListBullet"/>
        <w:spacing w:after="60"/>
        <w:ind w:left="720"/>
      </w:pPr>
      <w:r>
        <w:rPr>
          <w:color w:val="2D2D2D"/>
          <w:sz w:val="21"/>
        </w:rPr>
        <w:t>PropTech innovations will revolutionize property valuations, market predictions, and personalized property offerings.</w:t>
      </w:r>
    </w:p>
    <w:p>
      <w:pPr>
        <w:pStyle w:val="ListBullet"/>
        <w:spacing w:after="60"/>
        <w:ind w:left="720"/>
      </w:pPr>
      <w:r>
        <w:rPr>
          <w:color w:val="2D2D2D"/>
          <w:sz w:val="21"/>
        </w:rPr>
        <w:t>Tokenisation of real estate offers improved liquidity, transparency, and broader investor participation, aligning with digital transformation.</w:t>
      </w:r>
    </w:p>
    <w:p>
      <w:pPr>
        <w:pStyle w:val="Heading3"/>
      </w:pPr>
      <w:r>
        <w:t>3. ESG and Green Real Estate Mainstreaming</w:t>
      </w:r>
    </w:p>
    <w:p>
      <w:r>
        <w:t>Sustainability is becoming a core imperative, with institutional investors and end-users increasingly prioritizing environmentally responsible and wellness-centric developments.</w:t>
      </w:r>
    </w:p>
    <w:p>
      <w:r/>
      <w:r>
        <w:rPr>
          <w:b/>
        </w:rPr>
        <w:t>Key Data Points</w:t>
      </w:r>
      <w:r/>
    </w:p>
    <w:p>
      <w:pPr>
        <w:pStyle w:val="ListBullet"/>
        <w:spacing w:after="60"/>
        <w:ind w:left="720"/>
      </w:pPr>
      <w:r>
        <w:rPr>
          <w:color w:val="2D2D2D"/>
          <w:sz w:val="21"/>
        </w:rPr>
        <w:t>Institutional investors increasingly prefer ESG-compliant projects.</w:t>
      </w:r>
    </w:p>
    <w:p>
      <w:pPr>
        <w:pStyle w:val="ListBullet"/>
        <w:spacing w:after="60"/>
        <w:ind w:left="720"/>
      </w:pPr>
      <w:r>
        <w:rPr>
          <w:color w:val="2D2D2D"/>
          <w:sz w:val="21"/>
        </w:rPr>
        <w:t>End users prioritize wellness, energy efficiency, and green certifications.</w:t>
      </w:r>
    </w:p>
    <w:p>
      <w:pPr>
        <w:pStyle w:val="Heading3"/>
      </w:pPr>
      <w:r>
        <w:t>4. Growth of Flexible Living Models (Rental &amp; Co-living)</w:t>
      </w:r>
    </w:p>
    <w:p>
      <w:r>
        <w:t>Affordability pressures and lifestyle flexibility are fueling the expansion of organized rental housing and co-living spaces, especially among younger professionals.</w:t>
      </w:r>
    </w:p>
    <w:p>
      <w:r/>
      <w:r>
        <w:rPr>
          <w:b/>
        </w:rPr>
        <w:t>Key Data Points</w:t>
      </w:r>
      <w:r/>
    </w:p>
    <w:p>
      <w:pPr>
        <w:pStyle w:val="ListBullet"/>
        <w:spacing w:after="60"/>
        <w:ind w:left="720"/>
      </w:pPr>
      <w:r>
        <w:rPr>
          <w:color w:val="2D2D2D"/>
          <w:sz w:val="21"/>
        </w:rPr>
        <w:t>Flexible living models are gaining ground, driven by affordability pressures and lifestyle flexibility.</w:t>
      </w:r>
    </w:p>
    <w:p>
      <w:pPr>
        <w:pStyle w:val="ListBullet"/>
        <w:spacing w:after="60"/>
        <w:ind w:left="720"/>
      </w:pPr>
      <w:r>
        <w:rPr>
          <w:color w:val="2D2D2D"/>
          <w:sz w:val="21"/>
        </w:rPr>
        <w:t>Supportive policy frameworks like the Model Tenancy Act are aiding expansion.</w:t>
      </w:r>
    </w:p>
    <w:p>
      <w:pPr>
        <w:pStyle w:val="Heading3"/>
      </w:pPr>
      <w:r>
        <w:t>5. Expansion of REITs and Fractional Ownership</w:t>
      </w:r>
    </w:p>
    <w:p>
      <w:r>
        <w:t>The REIT market is maturing, with new avenues like SM REITs democratizing access to institutional-grade real estate and boosting liquidity.</w:t>
      </w:r>
    </w:p>
    <w:p>
      <w:r/>
      <w:r>
        <w:rPr>
          <w:b/>
        </w:rPr>
        <w:t>Key Data Points</w:t>
      </w:r>
      <w:r/>
    </w:p>
    <w:p>
      <w:pPr>
        <w:pStyle w:val="ListBullet"/>
        <w:spacing w:after="60"/>
        <w:ind w:left="720"/>
      </w:pPr>
      <w:r>
        <w:rPr>
          <w:color w:val="2D2D2D"/>
          <w:sz w:val="21"/>
        </w:rPr>
        <w:t xml:space="preserve">The REIT market in India now represents over </w:t>
      </w:r>
      <w:r>
        <w:rPr>
          <w:b/>
          <w:color w:val="1A3C6E"/>
          <w:sz w:val="21"/>
        </w:rPr>
        <w:t>9%</w:t>
      </w:r>
      <w:r>
        <w:rPr>
          <w:color w:val="2D2D2D"/>
          <w:sz w:val="21"/>
        </w:rPr>
        <w:t xml:space="preserve"> of the total office stock across the top eight cities.</w:t>
      </w:r>
    </w:p>
    <w:p>
      <w:pPr>
        <w:pStyle w:val="ListBullet"/>
        <w:spacing w:after="60"/>
        <w:ind w:left="720"/>
      </w:pPr>
      <w:r>
        <w:rPr>
          <w:color w:val="2D2D2D"/>
          <w:sz w:val="21"/>
        </w:rPr>
        <w:t>SM REITs offer new avenues for fractional ownership and democratized access to institutional-grade real estate.</w:t>
      </w:r>
    </w:p>
    <w:p>
      <w:pPr>
        <w:spacing w:before="120" w:after="120"/>
        <w:pBdr>
          <w:bottom w:val="single" w:sz="6" w:space="1" w:color="2E86AB"/>
        </w:pBdr>
      </w:pPr>
    </w:p>
    <w:p>
      <w:pPr>
        <w:pStyle w:val="Heading2"/>
      </w:pPr>
      <w:r>
        <w:t>4. Competitive Landscape</w:t>
      </w:r>
    </w:p>
    <w:p>
      <w:pPr>
        <w:pStyle w:val="Heading3"/>
      </w:pPr>
      <w:r>
        <w:t>Overview</w:t>
      </w:r>
    </w:p>
    <w:p>
      <w:r>
        <w:t>The Indian real estate market is transitioning towards greater institutional maturity, technological innovation, and consolidation. Developers are adapting to evolving consumer demands for smart, sustainable, and flexible spaces, while investors are pivoting towards future-ready, high-quality assets.</w:t>
      </w:r>
    </w:p>
    <w:p>
      <w:pPr>
        <w:pStyle w:val="Heading3"/>
      </w:pPr>
      <w:r>
        <w:t>Leader Characteristics</w:t>
      </w:r>
    </w:p>
    <w:p>
      <w:pPr>
        <w:pStyle w:val="ListBullet"/>
        <w:spacing w:after="60"/>
        <w:ind w:left="720"/>
      </w:pPr>
      <w:r>
        <w:rPr>
          <w:color w:val="2D2D2D"/>
          <w:sz w:val="21"/>
        </w:rPr>
        <w:t>Integration of technology (AI, IoT, blockchain) across design, construction, and operations for efficiency and speed.</w:t>
      </w:r>
    </w:p>
    <w:p>
      <w:pPr>
        <w:pStyle w:val="ListBullet"/>
        <w:spacing w:after="60"/>
        <w:ind w:left="720"/>
      </w:pPr>
      <w:r>
        <w:rPr>
          <w:color w:val="2D2D2D"/>
          <w:sz w:val="21"/>
        </w:rPr>
        <w:t>Strong financial health, prudent capital allocation, and ability to navigate market cycles.</w:t>
      </w:r>
    </w:p>
    <w:p>
      <w:pPr>
        <w:pStyle w:val="ListBullet"/>
        <w:spacing w:after="60"/>
        <w:ind w:left="720"/>
      </w:pPr>
      <w:r>
        <w:rPr>
          <w:color w:val="2D2D2D"/>
          <w:sz w:val="21"/>
        </w:rPr>
        <w:t>Commitment to delivering world-class quality homes within committed timelines, building strong brand reputation.</w:t>
      </w:r>
    </w:p>
    <w:p>
      <w:pPr>
        <w:pStyle w:val="ListBullet"/>
        <w:spacing w:after="60"/>
        <w:ind w:left="720"/>
      </w:pPr>
      <w:r>
        <w:rPr>
          <w:color w:val="2D2D2D"/>
          <w:sz w:val="21"/>
        </w:rPr>
        <w:t>Adoption of sustainable development practices and ESG-compliant designs, often with early-mover advantages.</w:t>
      </w:r>
    </w:p>
    <w:p>
      <w:pPr>
        <w:pStyle w:val="ListBullet"/>
        <w:spacing w:after="60"/>
        <w:ind w:left="720"/>
      </w:pPr>
      <w:r>
        <w:rPr>
          <w:color w:val="2D2D2D"/>
          <w:sz w:val="21"/>
        </w:rPr>
        <w:t>Strategic expansion into high-growth markets and asset classes, including Tier 2/3 cities and alternative assets.</w:t>
      </w:r>
    </w:p>
    <w:p>
      <w:pPr>
        <w:pStyle w:val="Heading3"/>
      </w:pPr>
      <w:r>
        <w:t>Key Differentiators</w:t>
      </w:r>
    </w:p>
    <w:p>
      <w:pPr>
        <w:pStyle w:val="ListBullet"/>
        <w:spacing w:after="60"/>
        <w:ind w:left="720"/>
      </w:pPr>
      <w:r>
        <w:rPr>
          <w:color w:val="2D2D2D"/>
          <w:sz w:val="21"/>
        </w:rPr>
        <w:t>Backward-integrated operating models (e.g., Sobha Group) enhancing control over quality and timelines.</w:t>
      </w:r>
    </w:p>
    <w:p>
      <w:pPr>
        <w:pStyle w:val="ListBullet"/>
        <w:spacing w:after="60"/>
        <w:ind w:left="720"/>
      </w:pPr>
      <w:r>
        <w:rPr>
          <w:color w:val="2D2D2D"/>
          <w:sz w:val="21"/>
        </w:rPr>
        <w:t>Pioneering sustainability initiatives (e.g., Net Water Zero certification for projects).</w:t>
      </w:r>
    </w:p>
    <w:p>
      <w:pPr>
        <w:pStyle w:val="ListBullet"/>
        <w:spacing w:after="60"/>
        <w:ind w:left="720"/>
      </w:pPr>
      <w:r>
        <w:rPr>
          <w:color w:val="2D2D2D"/>
          <w:sz w:val="21"/>
        </w:rPr>
        <w:t>Leveraging advanced construction technologies (e.g., pre-cast technology) for rapid, high-quality project delivery.</w:t>
      </w:r>
    </w:p>
    <w:p>
      <w:pPr>
        <w:pStyle w:val="ListBullet"/>
        <w:spacing w:after="60"/>
        <w:ind w:left="720"/>
      </w:pPr>
      <w:r>
        <w:rPr>
          <w:color w:val="2D2D2D"/>
          <w:sz w:val="21"/>
        </w:rPr>
        <w:t>Developing integrated 'live-work-play' communities that cater to modern urban homebuyers.</w:t>
      </w:r>
    </w:p>
    <w:p>
      <w:pPr>
        <w:pStyle w:val="ListBullet"/>
        <w:spacing w:after="60"/>
        <w:ind w:left="720"/>
      </w:pPr>
      <w:r>
        <w:rPr>
          <w:color w:val="2D2D2D"/>
          <w:sz w:val="21"/>
        </w:rPr>
        <w:t>Strong brand equity and customer trust built on consistent delivery and quality.</w:t>
      </w:r>
    </w:p>
    <w:p>
      <w:pPr>
        <w:pStyle w:val="Heading3"/>
      </w:pPr>
      <w:r>
        <w:t>Notable Players</w:t>
      </w:r>
    </w:p>
    <w:p>
      <w:pPr>
        <w:pStyle w:val="ListBullet"/>
        <w:spacing w:after="60"/>
        <w:ind w:left="720"/>
      </w:pPr>
      <w:r>
        <w:rPr>
          <w:color w:val="2D2D2D"/>
          <w:sz w:val="21"/>
        </w:rPr>
        <w:t>Sobha Group (highlighted for innovation, quality, and sustainable practices)</w:t>
      </w:r>
    </w:p>
    <w:p>
      <w:pPr>
        <w:pStyle w:val="ListBullet"/>
        <w:spacing w:after="60"/>
        <w:ind w:left="720"/>
      </w:pPr>
      <w:r>
        <w:rPr>
          <w:color w:val="2D2D2D"/>
          <w:sz w:val="21"/>
        </w:rPr>
        <w:t>Smaller developers (noted for facing challenges like liquidity issues and procedural hurdles)</w:t>
      </w:r>
    </w:p>
    <w:p>
      <w:pPr>
        <w:spacing w:before="120" w:after="120"/>
        <w:pBdr>
          <w:bottom w:val="single" w:sz="6" w:space="1" w:color="2E86AB"/>
        </w:pBdr>
      </w:pPr>
    </w:p>
    <w:p>
      <w:pPr>
        <w:pStyle w:val="Heading2"/>
      </w:pPr>
      <w:r>
        <w:t>5. Investment Opportunities</w:t>
      </w:r>
    </w:p>
    <w:p>
      <w:pPr>
        <w:pStyle w:val="Heading3"/>
      </w:pPr>
      <w:r>
        <w:t>1. Grade A Commercial Real Estate &amp; Data Centers</w:t>
      </w:r>
    </w:p>
    <w:p>
      <w:r>
        <w:t>Continued robust demand for premium office spaces, especially in IT hubs, and the exponential growth of data centers driven by digitization.</w:t>
      </w:r>
    </w:p>
    <w:p>
      <w:pPr>
        <w:pStyle w:val="ListBullet"/>
        <w:spacing w:after="60"/>
        <w:ind w:left="720"/>
      </w:pPr>
      <w:r>
        <w:rPr>
          <w:color w:val="2D2D2D"/>
          <w:sz w:val="21"/>
        </w:rPr>
      </w:r>
      <w:r>
        <w:rPr>
          <w:b/>
          <w:color w:val="1A3C6E"/>
          <w:sz w:val="21"/>
        </w:rPr>
        <w:t>Market Potential:</w:t>
      </w:r>
      <w:r>
        <w:rPr>
          <w:color w:val="2D2D2D"/>
          <w:sz w:val="21"/>
        </w:rPr>
        <w:t xml:space="preserve"> Office leasing rebounded sharply in FY2025, hitting record levels, with strong absorption and positive rental growth. India is fast becoming a global hub for data centers due to exponential digital consumption.</w:t>
      </w:r>
    </w:p>
    <w:p>
      <w:pPr>
        <w:pStyle w:val="ListBullet"/>
        <w:spacing w:after="60"/>
        <w:ind w:left="720"/>
      </w:pPr>
      <w:r>
        <w:rPr>
          <w:color w:val="2D2D2D"/>
          <w:sz w:val="21"/>
        </w:rPr>
      </w:r>
      <w:r>
        <w:rPr>
          <w:b/>
          <w:color w:val="1A3C6E"/>
          <w:sz w:val="21"/>
        </w:rPr>
        <w:t>Target Segments:</w:t>
      </w:r>
      <w:r>
        <w:rPr>
          <w:color w:val="2D2D2D"/>
          <w:sz w:val="21"/>
        </w:rPr>
        <w:t xml:space="preserve"> Global Capability Centers (GCCs), IT/ITES sector, Flexible workspaces, Technology firms and global investors in data centers</w:t>
      </w:r>
    </w:p>
    <w:p>
      <w:pPr>
        <w:pStyle w:val="Heading3"/>
      </w:pPr>
      <w:r>
        <w:t>2. Industrial and Warehousing Logistics Platforms</w:t>
      </w:r>
    </w:p>
    <w:p>
      <w:r>
        <w:t>Growth fueled by e-commerce, domestic manufacturing incentives, and the need for robust supply chain networks, transitioning to institutional-grade facilities.</w:t>
      </w:r>
    </w:p>
    <w:p>
      <w:pPr>
        <w:pStyle w:val="ListBullet"/>
        <w:spacing w:after="60"/>
        <w:ind w:left="720"/>
      </w:pPr>
      <w:r>
        <w:rPr>
          <w:color w:val="2D2D2D"/>
          <w:sz w:val="21"/>
        </w:rPr>
      </w:r>
      <w:r>
        <w:rPr>
          <w:b/>
          <w:color w:val="1A3C6E"/>
          <w:sz w:val="21"/>
        </w:rPr>
        <w:t>Market Potential:</w:t>
      </w:r>
      <w:r>
        <w:rPr>
          <w:color w:val="2D2D2D"/>
          <w:sz w:val="21"/>
        </w:rPr>
        <w:t xml:space="preserve"> Further expansion supported by PLI schemes, e-commerce boom, rapid digitization of retail, and FDI attraction due to GST and National Logistics Policy.</w:t>
      </w:r>
    </w:p>
    <w:p>
      <w:pPr>
        <w:pStyle w:val="ListBullet"/>
        <w:spacing w:after="60"/>
        <w:ind w:left="720"/>
      </w:pPr>
      <w:r>
        <w:rPr>
          <w:color w:val="2D2D2D"/>
          <w:sz w:val="21"/>
        </w:rPr>
      </w:r>
      <w:r>
        <w:rPr>
          <w:b/>
          <w:color w:val="1A3C6E"/>
          <w:sz w:val="21"/>
        </w:rPr>
        <w:t>Target Segments:</w:t>
      </w:r>
      <w:r>
        <w:rPr>
          <w:color w:val="2D2D2D"/>
          <w:sz w:val="21"/>
        </w:rPr>
        <w:t xml:space="preserve"> 3PL players, E-commerce companies, Manufacturing sector (Make in India), Logistics platforms</w:t>
      </w:r>
    </w:p>
    <w:p>
      <w:pPr>
        <w:pStyle w:val="Heading3"/>
      </w:pPr>
      <w:r>
        <w:t>3. REITs and Small &amp; Medium REITs (SM REITs)</w:t>
      </w:r>
    </w:p>
    <w:p>
      <w:r>
        <w:t>Increasing institutionalization and democratization of real estate investment through REITs, offering liquidity and fractional ownership.</w:t>
      </w:r>
    </w:p>
    <w:p>
      <w:pPr>
        <w:pStyle w:val="ListBullet"/>
        <w:spacing w:after="60"/>
        <w:ind w:left="720"/>
      </w:pPr>
      <w:r>
        <w:rPr>
          <w:color w:val="2D2D2D"/>
          <w:sz w:val="21"/>
        </w:rPr>
      </w:r>
      <w:r>
        <w:rPr>
          <w:b/>
          <w:color w:val="1A3C6E"/>
          <w:sz w:val="21"/>
        </w:rPr>
        <w:t>Market Potential:</w:t>
      </w:r>
      <w:r>
        <w:rPr>
          <w:color w:val="2D2D2D"/>
          <w:sz w:val="21"/>
        </w:rPr>
        <w:t xml:space="preserve"> The REIT market in India represents over </w:t>
      </w:r>
      <w:r>
        <w:rPr>
          <w:b/>
          <w:color w:val="1A3C6E"/>
          <w:sz w:val="21"/>
        </w:rPr>
        <w:t>9%</w:t>
      </w:r>
      <w:r>
        <w:rPr>
          <w:color w:val="2D2D2D"/>
          <w:sz w:val="21"/>
        </w:rPr>
        <w:t xml:space="preserve"> of the total office stock. SM REITs are unlocking new investor participation and democratizing access to institutional-grade real estate.</w:t>
      </w:r>
    </w:p>
    <w:p>
      <w:pPr>
        <w:pStyle w:val="ListBullet"/>
        <w:spacing w:after="60"/>
        <w:ind w:left="720"/>
      </w:pPr>
      <w:r>
        <w:rPr>
          <w:color w:val="2D2D2D"/>
          <w:sz w:val="21"/>
        </w:rPr>
      </w:r>
      <w:r>
        <w:rPr>
          <w:b/>
          <w:color w:val="1A3C6E"/>
          <w:sz w:val="21"/>
        </w:rPr>
        <w:t>Target Segments:</w:t>
      </w:r>
      <w:r>
        <w:rPr>
          <w:color w:val="2D2D2D"/>
          <w:sz w:val="21"/>
        </w:rPr>
        <w:t xml:space="preserve"> Institutional investors (for Grade A commercial, warehousing, retail portfolios), Retail investors (for fractional ownership), High Net-Worth Individuals (HNIs)</w:t>
      </w:r>
    </w:p>
    <w:p>
      <w:pPr>
        <w:pStyle w:val="Heading3"/>
      </w:pPr>
      <w:r>
        <w:t>4. Residential Development in Emerging Urban Corridors</w:t>
      </w:r>
    </w:p>
    <w:p>
      <w:r>
        <w:t>Strategic pivot by developers towards well-connected suburban hubs and Tier-2/3 cities, driven by infrastructure-led growth and the aspirations of a growing middle class.</w:t>
      </w:r>
    </w:p>
    <w:p>
      <w:pPr>
        <w:pStyle w:val="ListBullet"/>
        <w:spacing w:after="60"/>
        <w:ind w:left="720"/>
      </w:pPr>
      <w:r>
        <w:rPr>
          <w:color w:val="2D2D2D"/>
          <w:sz w:val="21"/>
        </w:rPr>
      </w:r>
      <w:r>
        <w:rPr>
          <w:b/>
          <w:color w:val="1A3C6E"/>
          <w:sz w:val="21"/>
        </w:rPr>
        <w:t>Market Potential:</w:t>
      </w:r>
      <w:r>
        <w:rPr>
          <w:color w:val="2D2D2D"/>
          <w:sz w:val="21"/>
        </w:rPr>
        <w:t xml:space="preserve"> Residential demand is anticipated to sustain momentum, particularly in mid-income and premium segments. Cities like Jaipur, Bhubaneswar, Nagpur, and Vishakhapatnam are becoming growth hotspots.</w:t>
      </w:r>
    </w:p>
    <w:p>
      <w:pPr>
        <w:pStyle w:val="ListBullet"/>
        <w:spacing w:after="60"/>
        <w:ind w:left="720"/>
      </w:pPr>
      <w:r>
        <w:rPr>
          <w:color w:val="2D2D2D"/>
          <w:sz w:val="21"/>
        </w:rPr>
      </w:r>
      <w:r>
        <w:rPr>
          <w:b/>
          <w:color w:val="1A3C6E"/>
          <w:sz w:val="21"/>
        </w:rPr>
        <w:t>Target Segments:</w:t>
      </w:r>
      <w:r>
        <w:rPr>
          <w:color w:val="2D2D2D"/>
          <w:sz w:val="21"/>
        </w:rPr>
        <w:t xml:space="preserve"> Mid-income housing, Premium housing, Live-work-play communities, Suburban and Tier-2/3 city developers</w:t>
      </w:r>
    </w:p>
    <w:p>
      <w:pPr>
        <w:pStyle w:val="Heading3"/>
      </w:pPr>
      <w:r>
        <w:t>5. PropTech and Real Estate Tokenization Startups</w:t>
      </w:r>
    </w:p>
    <w:p>
      <w:r>
        <w:t>Investment in innovative technology solutions that enhance efficiency, transparency, and customer experience across the real estate lifecycle, including fractional ownership via blockchain.</w:t>
      </w:r>
    </w:p>
    <w:p>
      <w:pPr>
        <w:pStyle w:val="ListBullet"/>
        <w:spacing w:after="60"/>
        <w:ind w:left="720"/>
      </w:pPr>
      <w:r>
        <w:rPr>
          <w:color w:val="2D2D2D"/>
          <w:sz w:val="21"/>
        </w:rPr>
      </w:r>
      <w:r>
        <w:rPr>
          <w:b/>
          <w:color w:val="1A3C6E"/>
          <w:sz w:val="21"/>
        </w:rPr>
        <w:t>Market Potential:</w:t>
      </w:r>
      <w:r>
        <w:rPr>
          <w:color w:val="2D2D2D"/>
          <w:sz w:val="21"/>
        </w:rPr>
        <w:t xml:space="preserve"> Early-stage proptech and co-living models gained visibility. Tokenisation offers improved liquidity, transparency, and broader investor participation, with potential to revolutionize the market.</w:t>
      </w:r>
    </w:p>
    <w:p>
      <w:pPr>
        <w:pStyle w:val="ListBullet"/>
        <w:spacing w:after="60"/>
        <w:ind w:left="720"/>
      </w:pPr>
      <w:r>
        <w:rPr>
          <w:color w:val="2D2D2D"/>
          <w:sz w:val="21"/>
        </w:rPr>
      </w:r>
      <w:r>
        <w:rPr>
          <w:b/>
          <w:color w:val="1A3C6E"/>
          <w:sz w:val="21"/>
        </w:rPr>
        <w:t>Target Segments:</w:t>
      </w:r>
      <w:r>
        <w:rPr>
          <w:color w:val="2D2D2D"/>
          <w:sz w:val="21"/>
        </w:rPr>
        <w:t xml:space="preserve"> AI/ML analytics platforms, IoT smart home solutions, VR/AR immersive tour providers, Blockchain-based tokenization platforms</w:t>
      </w:r>
    </w:p>
    <w:p>
      <w:pPr>
        <w:spacing w:before="120" w:after="120"/>
        <w:pBdr>
          <w:bottom w:val="single" w:sz="6" w:space="1" w:color="2E86AB"/>
        </w:pBdr>
      </w:pPr>
    </w:p>
    <w:p>
      <w:pPr>
        <w:pStyle w:val="Heading2"/>
      </w:pPr>
      <w:r>
        <w:t>6. Risk Factors</w:t>
      </w:r>
    </w:p>
    <w:tbl>
      <w:tblPr>
        <w:tblStyle w:val="TableGrid"/>
        <w:tblW w:type="auto" w:w="0"/>
        <w:tblLook w:firstColumn="1" w:firstRow="1" w:lastColumn="0" w:lastRow="0" w:noHBand="0" w:noVBand="1" w:val="04A0"/>
      </w:tblPr>
      <w:tblGrid>
        <w:gridCol w:w="3135"/>
        <w:gridCol w:w="3135"/>
        <w:gridCol w:w="3135"/>
      </w:tblGrid>
      <w:tr>
        <w:tc>
          <w:tcPr>
            <w:tcW w:type="dxa" w:w="3135"/>
            <w:shd w:fill="1A3C6E" w:val="clear"/>
          </w:tcPr>
          <w:p>
            <w:r/>
            <w:r>
              <w:rPr>
                <w:rFonts w:ascii="Calibri" w:hAnsi="Calibri"/>
                <w:b/>
                <w:color w:val="FFFFFF"/>
                <w:sz w:val="19"/>
              </w:rPr>
              <w:t>Risk</w:t>
            </w:r>
          </w:p>
        </w:tc>
        <w:tc>
          <w:tcPr>
            <w:tcW w:type="dxa" w:w="3135"/>
            <w:shd w:fill="1A3C6E" w:val="clear"/>
          </w:tcPr>
          <w:p>
            <w:r/>
            <w:r>
              <w:rPr>
                <w:rFonts w:ascii="Calibri" w:hAnsi="Calibri"/>
                <w:b/>
                <w:color w:val="FFFFFF"/>
                <w:sz w:val="19"/>
              </w:rPr>
              <w:t>Severity</w:t>
            </w:r>
          </w:p>
        </w:tc>
        <w:tc>
          <w:tcPr>
            <w:tcW w:type="dxa" w:w="3135"/>
            <w:shd w:fill="1A3C6E" w:val="clear"/>
          </w:tcPr>
          <w:p>
            <w:r/>
            <w:r>
              <w:rPr>
                <w:rFonts w:ascii="Calibri" w:hAnsi="Calibri"/>
                <w:b/>
                <w:color w:val="FFFFFF"/>
                <w:sz w:val="19"/>
              </w:rPr>
              <w:t>Key Issue</w:t>
            </w:r>
          </w:p>
        </w:tc>
      </w:tr>
      <w:tr>
        <w:tc>
          <w:tcPr>
            <w:tcW w:type="dxa" w:w="3135"/>
          </w:tcPr>
          <w:p>
            <w:r/>
            <w:r>
              <w:rPr>
                <w:rFonts w:ascii="Calibri" w:hAnsi="Calibri"/>
                <w:color w:val="2D2D2D"/>
                <w:sz w:val="19"/>
              </w:rPr>
              <w:t>Affordability Constraints</w:t>
            </w:r>
          </w:p>
        </w:tc>
        <w:tc>
          <w:tcPr>
            <w:tcW w:type="dxa" w:w="3135"/>
          </w:tcPr>
          <w:p>
            <w:r/>
            <w:r>
              <w:rPr>
                <w:rFonts w:ascii="Calibri" w:hAnsi="Calibri"/>
                <w:color w:val="2D2D2D"/>
                <w:sz w:val="19"/>
              </w:rPr>
              <w:t>High</w:t>
            </w:r>
          </w:p>
        </w:tc>
        <w:tc>
          <w:tcPr>
            <w:tcW w:type="dxa" w:w="3135"/>
          </w:tcPr>
          <w:p>
            <w:r/>
            <w:r>
              <w:rPr>
                <w:rFonts w:ascii="Calibri" w:hAnsi="Calibri"/>
                <w:color w:val="2D2D2D"/>
                <w:sz w:val="19"/>
              </w:rPr>
              <w:t>Rising housing prices, elevated domestic interest rates, and global economic volatility are impacting homebuyer affor...</w:t>
            </w:r>
          </w:p>
        </w:tc>
      </w:tr>
      <w:tr>
        <w:tc>
          <w:tcPr>
            <w:tcW w:type="dxa" w:w="3135"/>
            <w:shd w:fill="EBF5FB" w:val="clear"/>
          </w:tcPr>
          <w:p>
            <w:r/>
            <w:r>
              <w:rPr>
                <w:rFonts w:ascii="Calibri" w:hAnsi="Calibri"/>
                <w:color w:val="2D2D2D"/>
                <w:sz w:val="19"/>
              </w:rPr>
              <w:t>Regulatory and Approval Hurdles</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Complex land acquisition, delayed environmental clearances, and slow municipal approval processes continue to cause p...</w:t>
            </w:r>
          </w:p>
        </w:tc>
      </w:tr>
      <w:tr>
        <w:tc>
          <w:tcPr>
            <w:tcW w:type="dxa" w:w="3135"/>
          </w:tcPr>
          <w:p>
            <w:r/>
            <w:r>
              <w:rPr>
                <w:rFonts w:ascii="Calibri" w:hAnsi="Calibri"/>
                <w:color w:val="2D2D2D"/>
                <w:sz w:val="19"/>
              </w:rPr>
              <w:t>Rising Construction Costs &amp; Supply Chain Disruptions</w:t>
            </w:r>
          </w:p>
        </w:tc>
        <w:tc>
          <w:tcPr>
            <w:tcW w:type="dxa" w:w="3135"/>
          </w:tcPr>
          <w:p>
            <w:r/>
            <w:r>
              <w:rPr>
                <w:rFonts w:ascii="Calibri" w:hAnsi="Calibri"/>
                <w:color w:val="2D2D2D"/>
                <w:sz w:val="19"/>
              </w:rPr>
              <w:t>Medium</w:t>
            </w:r>
          </w:p>
        </w:tc>
        <w:tc>
          <w:tcPr>
            <w:tcW w:type="dxa" w:w="3135"/>
          </w:tcPr>
          <w:p>
            <w:r/>
            <w:r>
              <w:rPr>
                <w:rFonts w:ascii="Calibri" w:hAnsi="Calibri"/>
                <w:color w:val="2D2D2D"/>
                <w:sz w:val="19"/>
              </w:rPr>
              <w:t>Supply chain instability, increasing material costs, and margin pressures strain project viability, further exacerbat...</w:t>
            </w:r>
          </w:p>
        </w:tc>
      </w:tr>
      <w:tr>
        <w:tc>
          <w:tcPr>
            <w:tcW w:type="dxa" w:w="3135"/>
            <w:shd w:fill="EBF5FB" w:val="clear"/>
          </w:tcPr>
          <w:p>
            <w:r/>
            <w:r>
              <w:rPr>
                <w:rFonts w:ascii="Calibri" w:hAnsi="Calibri"/>
                <w:color w:val="2D2D2D"/>
                <w:sz w:val="19"/>
              </w:rPr>
              <w:t>Cybersecurity Risks and Data Protection</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Increased reliance on technology for smart homes and digital transactions introduces vulnerabilities to cybersecurity...</w:t>
            </w:r>
          </w:p>
        </w:tc>
      </w:tr>
      <w:tr>
        <w:tc>
          <w:tcPr>
            <w:tcW w:type="dxa" w:w="3135"/>
          </w:tcPr>
          <w:p>
            <w:r/>
            <w:r>
              <w:rPr>
                <w:rFonts w:ascii="Calibri" w:hAnsi="Calibri"/>
                <w:color w:val="2D2D2D"/>
                <w:sz w:val="19"/>
              </w:rPr>
              <w:t>Global Economic and Political Volatility</w:t>
            </w:r>
          </w:p>
        </w:tc>
        <w:tc>
          <w:tcPr>
            <w:tcW w:type="dxa" w:w="3135"/>
          </w:tcPr>
          <w:p>
            <w:r/>
            <w:r>
              <w:rPr>
                <w:rFonts w:ascii="Calibri" w:hAnsi="Calibri"/>
                <w:color w:val="2D2D2D"/>
                <w:sz w:val="19"/>
              </w:rPr>
              <w:t>High</w:t>
            </w:r>
          </w:p>
        </w:tc>
        <w:tc>
          <w:tcPr>
            <w:tcW w:type="dxa" w:w="3135"/>
          </w:tcPr>
          <w:p>
            <w:r/>
            <w:r>
              <w:rPr>
                <w:rFonts w:ascii="Calibri" w:hAnsi="Calibri"/>
                <w:color w:val="2D2D2D"/>
                <w:sz w:val="19"/>
              </w:rPr>
              <w:t>External macro factors such as geopolitical tensions, commodity price fluctuations, and capital flow uncertainties co...</w:t>
            </w:r>
          </w:p>
        </w:tc>
      </w:tr>
    </w:tbl>
    <w:p/>
    <w:p>
      <w:pPr>
        <w:spacing w:before="120" w:after="120"/>
        <w:pBdr>
          <w:bottom w:val="single" w:sz="6" w:space="1" w:color="2E86AB"/>
        </w:pBdr>
      </w:pPr>
    </w:p>
    <w:p>
      <w:pPr>
        <w:pStyle w:val="Heading2"/>
      </w:pPr>
      <w:r>
        <w:t>7. Signal Strength</w:t>
      </w:r>
    </w:p>
    <w:p>
      <w:r>
        <w:rPr>
          <w:b/>
          <w:color w:val="5A5A5A"/>
          <w:sz w:val="22"/>
        </w:rPr>
        <w:t xml:space="preserve">Rating: </w:t>
      </w:r>
      <w:r>
        <w:rPr>
          <w:color w:val="2D2D2D"/>
          <w:sz w:val="22"/>
        </w:rPr>
        <w:t>8/10</w:t>
      </w:r>
    </w:p>
    <w:p>
      <w:r>
        <w:rPr>
          <w:b/>
          <w:color w:val="5A5A5A"/>
          <w:sz w:val="22"/>
        </w:rPr>
        <w:t xml:space="preserve">Justification: </w:t>
      </w:r>
      <w:r>
        <w:rPr>
          <w:color w:val="2D2D2D"/>
          <w:sz w:val="22"/>
        </w:rPr>
        <w:t>The report provides a strong investment signal for the Indian real estate sector. It offers comprehensive coverage, including historical performance (FY 2019-2025), current trends (FY 2024-25), and clear forecasts (FY 2025-26 and beyond). Key metrics are precise and bolded, such as the **77%** surge in residential sales, **USD 6.99 billion** in FY24-25 transactions, and **9%** REIT market share of office stock. The analysis is granular, identifying opportunities across diverse asset classes (residential, commercial, industrial, data centers, REITs) and geographies (Tier 1 vs. Tier 2/3 cities). The inclusion of 'Developer speak' adds valuable qualitative insights, and risk factors are clearly outlined with supporting evidence. The report's focus on future-ready assets, technology integration (PropTech, tokenization), and sustainability provides highly actionable directions for investment, making it very relevant and timely for strategic decision-making.</w:t>
      </w:r>
    </w:p>
    <w:p>
      <w:pPr>
        <w:spacing w:before="120" w:after="120"/>
        <w:pBdr>
          <w:bottom w:val="single" w:sz="6" w:space="1" w:color="2E86AB"/>
        </w:pBdr>
      </w:pPr>
    </w:p>
    <w:p>
      <w:pPr>
        <w:pStyle w:val="Heading1"/>
      </w:pPr>
      <w:r>
        <w:t>Pitch Brief</w:t>
      </w:r>
    </w:p>
    <w:p>
      <w:pPr>
        <w:pStyle w:val="Title"/>
      </w:pPr>
      <w:r>
        <w:t>India Real Estate: Growth &amp; Transformation (FY25 26) Investment Pitch Brief</w:t>
      </w:r>
    </w:p>
    <w:p>
      <w:pPr>
        <w:spacing w:before="120" w:after="120"/>
        <w:pBdr>
          <w:bottom w:val="single" w:sz="6" w:space="1" w:color="2E86AB"/>
        </w:pBdr>
      </w:pPr>
    </w:p>
    <w:p>
      <w:pPr>
        <w:spacing w:before="120" w:after="120"/>
        <w:pBdr>
          <w:bottom w:val="single" w:sz="6" w:space="1" w:color="2E86AB"/>
        </w:pBdr>
      </w:pPr>
    </w:p>
    <w:p>
      <w:pPr>
        <w:pStyle w:val="Heading1"/>
      </w:pPr>
      <w:r>
        <w:t>1. Executive Summary</w:t>
      </w:r>
    </w:p>
    <w:p>
      <w:r>
        <w:t>The Indian real estate sector demonstrates strong resilience and is poised for sustained momentum in FY2025-26, driven by structural reforms, rapid urbanization, and evolving consumer aspirations. It continues to attract significant investment, transitioning towards technology-driven, sustainable, and institutionalized growth.</w:t>
      </w:r>
    </w:p>
    <w:p>
      <w:pPr>
        <w:pStyle w:val="ListBullet"/>
        <w:spacing w:after="60"/>
        <w:ind w:left="720"/>
      </w:pPr>
      <w:r>
        <w:rPr>
          <w:color w:val="2D2D2D"/>
          <w:sz w:val="21"/>
        </w:rPr>
      </w:r>
      <w:r>
        <w:rPr>
          <w:b/>
          <w:color w:val="1A3C6E"/>
          <w:sz w:val="21"/>
        </w:rPr>
        <w:t>Residential Market Rebound:</w:t>
      </w:r>
      <w:r>
        <w:rPr>
          <w:color w:val="2D2D2D"/>
          <w:sz w:val="21"/>
        </w:rPr>
        <w:t xml:space="preserve"> Total residential sales in major cities surged by nearly </w:t>
      </w:r>
      <w:r>
        <w:rPr>
          <w:b/>
          <w:color w:val="1A3C6E"/>
          <w:sz w:val="21"/>
        </w:rPr>
        <w:t>77%</w:t>
      </w:r>
      <w:r>
        <w:rPr>
          <w:color w:val="2D2D2D"/>
          <w:sz w:val="21"/>
        </w:rPr>
        <w:t xml:space="preserve"> from FY 2019 to FY 2025.</w:t>
      </w:r>
    </w:p>
    <w:p>
      <w:pPr>
        <w:pStyle w:val="ListBullet"/>
        <w:spacing w:after="60"/>
        <w:ind w:left="720"/>
      </w:pPr>
      <w:r>
        <w:rPr>
          <w:color w:val="2D2D2D"/>
          <w:sz w:val="21"/>
        </w:rPr>
      </w:r>
      <w:r>
        <w:rPr>
          <w:b/>
          <w:color w:val="1A3C6E"/>
          <w:sz w:val="21"/>
        </w:rPr>
        <w:t>Robust Investment Activity:</w:t>
      </w:r>
      <w:r>
        <w:rPr>
          <w:color w:val="2D2D2D"/>
          <w:sz w:val="21"/>
        </w:rPr>
        <w:t xml:space="preserve"> The sector recorded </w:t>
      </w:r>
      <w:r>
        <w:rPr>
          <w:b/>
          <w:color w:val="1A3C6E"/>
          <w:sz w:val="21"/>
        </w:rPr>
        <w:t>99 transactions</w:t>
      </w:r>
      <w:r>
        <w:rPr>
          <w:color w:val="2D2D2D"/>
          <w:sz w:val="21"/>
        </w:rPr>
        <w:t xml:space="preserve"> with a combined value of around </w:t>
      </w:r>
      <w:r>
        <w:rPr>
          <w:b/>
          <w:color w:val="1A3C6E"/>
          <w:sz w:val="21"/>
        </w:rPr>
        <w:t>USD 6.99 billion</w:t>
      </w:r>
      <w:r>
        <w:rPr>
          <w:color w:val="2D2D2D"/>
          <w:sz w:val="21"/>
        </w:rPr>
        <w:t xml:space="preserve"> in FY 2024–25.</w:t>
      </w:r>
    </w:p>
    <w:p>
      <w:pPr>
        <w:pStyle w:val="ListBullet"/>
        <w:spacing w:after="60"/>
        <w:ind w:left="720"/>
      </w:pPr>
      <w:r>
        <w:rPr>
          <w:color w:val="2D2D2D"/>
          <w:sz w:val="21"/>
        </w:rPr>
      </w:r>
      <w:r>
        <w:rPr>
          <w:b/>
          <w:color w:val="1A3C6E"/>
          <w:sz w:val="21"/>
        </w:rPr>
        <w:t>Office Leasing Record Levels:</w:t>
      </w:r>
      <w:r>
        <w:rPr>
          <w:color w:val="2D2D2D"/>
          <w:sz w:val="21"/>
        </w:rPr>
        <w:t xml:space="preserve"> Demand surged in FY2025, driven by GCCs, IT/ITES, e-commerce, and flexible workspaces.</w:t>
      </w:r>
    </w:p>
    <w:p>
      <w:pPr>
        <w:spacing w:before="120" w:after="120"/>
        <w:pBdr>
          <w:bottom w:val="single" w:sz="6" w:space="1" w:color="2E86AB"/>
        </w:pBdr>
      </w:pPr>
    </w:p>
    <w:p>
      <w:pPr>
        <w:pStyle w:val="Heading1"/>
      </w:pPr>
      <w:r>
        <w:t>2. Market Opportunity</w:t>
      </w:r>
    </w:p>
    <w:p>
      <w:r>
        <w:t>Key indicators highlighting the growth opportunity:</w:t>
      </w:r>
    </w:p>
    <w:p>
      <w:pPr>
        <w:pStyle w:val="ListBullet"/>
        <w:spacing w:after="60"/>
        <w:ind w:left="720"/>
      </w:pPr>
      <w:r>
        <w:rPr>
          <w:color w:val="2D2D2D"/>
          <w:sz w:val="21"/>
        </w:rPr>
      </w:r>
      <w:r>
        <w:rPr>
          <w:b/>
          <w:color w:val="1A3C6E"/>
          <w:sz w:val="21"/>
        </w:rPr>
        <w:t>Residential Sales Growth (FY19-FY25):</w:t>
      </w:r>
      <w:r>
        <w:rPr>
          <w:color w:val="2D2D2D"/>
          <w:sz w:val="21"/>
        </w:rPr>
        <w:t xml:space="preserve"> </w:t>
      </w:r>
      <w:r>
        <w:rPr>
          <w:b/>
          <w:color w:val="1A3C6E"/>
          <w:sz w:val="21"/>
        </w:rPr>
        <w:t>77%</w:t>
      </w:r>
      <w:r>
        <w:rPr>
          <w:color w:val="2D2D2D"/>
          <w:sz w:val="21"/>
        </w:rPr>
        <w:t xml:space="preserve"> — Surge in total residential sales in major cities, reflecting buyer confidence.</w:t>
      </w:r>
    </w:p>
    <w:p>
      <w:pPr>
        <w:pStyle w:val="ListBullet"/>
        <w:spacing w:after="60"/>
        <w:ind w:left="720"/>
      </w:pPr>
      <w:r>
        <w:rPr>
          <w:color w:val="2D2D2D"/>
          <w:sz w:val="21"/>
        </w:rPr>
      </w:r>
      <w:r>
        <w:rPr>
          <w:b/>
          <w:color w:val="1A3C6E"/>
          <w:sz w:val="21"/>
        </w:rPr>
        <w:t>Total Investment Value (FY24-25):</w:t>
      </w:r>
      <w:r>
        <w:rPr>
          <w:color w:val="2D2D2D"/>
          <w:sz w:val="21"/>
        </w:rPr>
        <w:t xml:space="preserve"> </w:t>
      </w:r>
      <w:r>
        <w:rPr>
          <w:b/>
          <w:color w:val="1A3C6E"/>
          <w:sz w:val="21"/>
        </w:rPr>
        <w:t>USD 6.99 billion</w:t>
      </w:r>
      <w:r>
        <w:rPr>
          <w:color w:val="2D2D2D"/>
          <w:sz w:val="21"/>
        </w:rPr>
        <w:t xml:space="preserve"> — Across 99 transactions, demonstrating robust investor interest despite macroeconomic challenges.</w:t>
      </w:r>
    </w:p>
    <w:p>
      <w:pPr>
        <w:pStyle w:val="ListBullet"/>
        <w:spacing w:after="60"/>
        <w:ind w:left="720"/>
      </w:pPr>
      <w:r>
        <w:rPr>
          <w:color w:val="2D2D2D"/>
          <w:sz w:val="21"/>
        </w:rPr>
      </w:r>
      <w:r>
        <w:rPr>
          <w:b/>
          <w:color w:val="1A3C6E"/>
          <w:sz w:val="21"/>
        </w:rPr>
        <w:t>Private Equity Investment (FY24-25):</w:t>
      </w:r>
      <w:r>
        <w:rPr>
          <w:color w:val="2D2D2D"/>
          <w:sz w:val="21"/>
        </w:rPr>
        <w:t xml:space="preserve"> </w:t>
      </w:r>
      <w:r>
        <w:rPr>
          <w:b/>
          <w:color w:val="1A3C6E"/>
          <w:sz w:val="21"/>
        </w:rPr>
        <w:t>USD 3.15 billion</w:t>
      </w:r>
      <w:r>
        <w:rPr>
          <w:color w:val="2D2D2D"/>
          <w:sz w:val="21"/>
        </w:rPr>
        <w:t xml:space="preserve"> — Dominant funding channel, accounting for nearly half of overall investment activity across 48 transactions.</w:t>
      </w:r>
    </w:p>
    <w:p>
      <w:pPr>
        <w:pStyle w:val="ListBullet"/>
        <w:spacing w:after="60"/>
        <w:ind w:left="720"/>
      </w:pPr>
      <w:r>
        <w:rPr>
          <w:color w:val="2D2D2D"/>
          <w:sz w:val="21"/>
        </w:rPr>
      </w:r>
      <w:r>
        <w:rPr>
          <w:b/>
          <w:color w:val="1A3C6E"/>
          <w:sz w:val="21"/>
        </w:rPr>
        <w:t>Public Market Capital Raise (FY24-25):</w:t>
      </w:r>
      <w:r>
        <w:rPr>
          <w:color w:val="2D2D2D"/>
          <w:sz w:val="21"/>
        </w:rPr>
        <w:t xml:space="preserve"> </w:t>
      </w:r>
      <w:r>
        <w:rPr>
          <w:b/>
          <w:color w:val="1A3C6E"/>
          <w:sz w:val="21"/>
        </w:rPr>
        <w:t>USD 2.99 billion</w:t>
      </w:r>
      <w:r>
        <w:rPr>
          <w:color w:val="2D2D2D"/>
          <w:sz w:val="21"/>
        </w:rPr>
        <w:t xml:space="preserve"> — Raised through IPOs and QIPs, signaling strong capital markets support for the sector.</w:t>
      </w:r>
    </w:p>
    <w:p>
      <w:pPr>
        <w:pStyle w:val="ListBullet"/>
        <w:spacing w:after="60"/>
        <w:ind w:left="720"/>
      </w:pPr>
      <w:r>
        <w:rPr>
          <w:color w:val="2D2D2D"/>
          <w:sz w:val="21"/>
        </w:rPr>
      </w:r>
      <w:r>
        <w:rPr>
          <w:b/>
          <w:color w:val="1A3C6E"/>
          <w:sz w:val="21"/>
        </w:rPr>
        <w:t>REIT Market Share:</w:t>
      </w:r>
      <w:r>
        <w:rPr>
          <w:color w:val="2D2D2D"/>
          <w:sz w:val="21"/>
        </w:rPr>
        <w:t xml:space="preserve"> Over </w:t>
      </w:r>
      <w:r>
        <w:rPr>
          <w:b/>
          <w:color w:val="1A3C6E"/>
          <w:sz w:val="21"/>
        </w:rPr>
        <w:t>9%</w:t>
      </w:r>
      <w:r>
        <w:rPr>
          <w:color w:val="2D2D2D"/>
          <w:sz w:val="21"/>
        </w:rPr>
        <w:t xml:space="preserve"> — Represents the share of total office stock across the top eight cities, indicating maturity and institutionalization.</w:t>
      </w:r>
    </w:p>
    <w:p>
      <w:pPr>
        <w:spacing w:before="120" w:after="120"/>
        <w:pBdr>
          <w:bottom w:val="single" w:sz="6" w:space="1" w:color="2E86AB"/>
        </w:pBdr>
      </w:pPr>
    </w:p>
    <w:p>
      <w:pPr>
        <w:pStyle w:val="Heading1"/>
      </w:pPr>
      <w:r>
        <w:t>3. Target Company Profile</w:t>
      </w:r>
    </w:p>
    <w:p>
      <w:r>
        <w:t>Ideal investment targets:</w:t>
      </w:r>
    </w:p>
    <w:p>
      <w:pPr>
        <w:pStyle w:val="ListBullet"/>
        <w:spacing w:after="60"/>
        <w:ind w:left="720"/>
      </w:pPr>
      <w:r>
        <w:rPr>
          <w:color w:val="2D2D2D"/>
          <w:sz w:val="21"/>
        </w:rPr>
      </w:r>
      <w:r>
        <w:rPr>
          <w:b/>
          <w:color w:val="1A3C6E"/>
          <w:sz w:val="21"/>
        </w:rPr>
        <w:t>Technologically Advanced:</w:t>
      </w:r>
      <w:r>
        <w:rPr>
          <w:color w:val="2D2D2D"/>
          <w:sz w:val="21"/>
        </w:rPr>
        <w:t xml:space="preserve"> Early adopters and integrators of advanced technology (AI, IoT, blockchain) across operations.</w:t>
      </w:r>
    </w:p>
    <w:p>
      <w:pPr>
        <w:pStyle w:val="ListBullet"/>
        <w:spacing w:after="60"/>
        <w:ind w:left="720"/>
      </w:pPr>
      <w:r>
        <w:rPr>
          <w:color w:val="2D2D2D"/>
          <w:sz w:val="21"/>
        </w:rPr>
      </w:r>
      <w:r>
        <w:rPr>
          <w:b/>
          <w:color w:val="1A3C6E"/>
          <w:sz w:val="21"/>
        </w:rPr>
        <w:t>Financially Prudent:</w:t>
      </w:r>
      <w:r>
        <w:rPr>
          <w:color w:val="2D2D2D"/>
          <w:sz w:val="21"/>
        </w:rPr>
        <w:t xml:space="preserve"> Strong financial health with prudent capital allocation and ability to navigate market cycles.</w:t>
      </w:r>
    </w:p>
    <w:p>
      <w:pPr>
        <w:pStyle w:val="ListBullet"/>
        <w:spacing w:after="60"/>
        <w:ind w:left="720"/>
      </w:pPr>
      <w:r>
        <w:rPr>
          <w:color w:val="2D2D2D"/>
          <w:sz w:val="21"/>
        </w:rPr>
      </w:r>
      <w:r>
        <w:rPr>
          <w:b/>
          <w:color w:val="1A3C6E"/>
          <w:sz w:val="21"/>
        </w:rPr>
        <w:t>Quality &amp; Timeliness Focused:</w:t>
      </w:r>
      <w:r>
        <w:rPr>
          <w:color w:val="2D2D2D"/>
          <w:sz w:val="21"/>
        </w:rPr>
        <w:t xml:space="preserve"> Proven commitment to delivering world-class quality homes within committed timelines.</w:t>
      </w:r>
    </w:p>
    <w:p>
      <w:pPr>
        <w:pStyle w:val="ListBullet"/>
        <w:spacing w:after="60"/>
        <w:ind w:left="720"/>
      </w:pPr>
      <w:r>
        <w:rPr>
          <w:color w:val="2D2D2D"/>
          <w:sz w:val="21"/>
        </w:rPr>
      </w:r>
      <w:r>
        <w:rPr>
          <w:b/>
          <w:color w:val="1A3C6E"/>
          <w:sz w:val="21"/>
        </w:rPr>
        <w:t>Sustainability Leaders:</w:t>
      </w:r>
      <w:r>
        <w:rPr>
          <w:color w:val="2D2D2D"/>
          <w:sz w:val="21"/>
        </w:rPr>
        <w:t xml:space="preserve"> Demonstrated adoption of sustainable development practices and ESG-compliant designs.</w:t>
      </w:r>
    </w:p>
    <w:p>
      <w:pPr>
        <w:pStyle w:val="ListBullet"/>
        <w:spacing w:after="60"/>
        <w:ind w:left="720"/>
      </w:pPr>
      <w:r>
        <w:rPr>
          <w:color w:val="2D2D2D"/>
          <w:sz w:val="21"/>
        </w:rPr>
      </w:r>
      <w:r>
        <w:rPr>
          <w:b/>
          <w:color w:val="1A3C6E"/>
          <w:sz w:val="21"/>
        </w:rPr>
        <w:t>Strategic Expanders:</w:t>
      </w:r>
      <w:r>
        <w:rPr>
          <w:color w:val="2D2D2D"/>
          <w:sz w:val="21"/>
        </w:rPr>
        <w:t xml:space="preserve"> Strategic expansion into high-growth markets, including Tier 2/3 cities and alternative assets.</w:t>
      </w:r>
    </w:p>
    <w:p>
      <w:pPr>
        <w:pStyle w:val="ListBullet"/>
        <w:spacing w:after="60"/>
        <w:ind w:left="720"/>
      </w:pPr>
      <w:r>
        <w:rPr>
          <w:color w:val="2D2D2D"/>
          <w:sz w:val="21"/>
        </w:rPr>
      </w:r>
      <w:r>
        <w:rPr>
          <w:b/>
          <w:color w:val="1A3C6E"/>
          <w:sz w:val="21"/>
        </w:rPr>
        <w:t>Innovation Driven:</w:t>
      </w:r>
      <w:r>
        <w:rPr>
          <w:color w:val="2D2D2D"/>
          <w:sz w:val="21"/>
        </w:rPr>
        <w:t xml:space="preserve"> Innovators in PropTech, including real estate tokenization platforms and flexible living models.</w:t>
      </w:r>
    </w:p>
    <w:p>
      <w:pPr>
        <w:spacing w:before="120" w:after="120"/>
        <w:pBdr>
          <w:bottom w:val="single" w:sz="6" w:space="1" w:color="2E86AB"/>
        </w:pBdr>
      </w:pPr>
    </w:p>
    <w:p>
      <w:pPr>
        <w:pStyle w:val="Heading1"/>
      </w:pPr>
      <w:r>
        <w:t>4. Competitive Landscape</w:t>
      </w:r>
    </w:p>
    <w:p>
      <w:pPr>
        <w:pStyle w:val="Heading2"/>
      </w:pPr>
      <w:r>
        <w:t>Overview</w:t>
      </w:r>
    </w:p>
    <w:p>
      <w:r>
        <w:t>The Indian real estate market is transitioning towards greater institutional maturity, technological innovation, and consolidation. Developers are adapting to evolving consumer demands for smart, sustainable, and flexible spaces, while investors are pivoting towards future-ready, high-quality assets.</w:t>
      </w:r>
    </w:p>
    <w:p>
      <w:pPr>
        <w:pStyle w:val="Heading2"/>
      </w:pPr>
      <w:r>
        <w:t>Leader Characteristics</w:t>
      </w:r>
    </w:p>
    <w:p>
      <w:pPr>
        <w:pStyle w:val="ListBullet"/>
        <w:spacing w:after="60"/>
        <w:ind w:left="720"/>
      </w:pPr>
      <w:r>
        <w:rPr>
          <w:color w:val="2D2D2D"/>
          <w:sz w:val="21"/>
        </w:rPr>
        <w:t>Integration of technology (AI, IoT, blockchain) across design, construction, and operations for efficiency and speed.</w:t>
      </w:r>
    </w:p>
    <w:p>
      <w:pPr>
        <w:pStyle w:val="ListBullet"/>
        <w:spacing w:after="60"/>
        <w:ind w:left="720"/>
      </w:pPr>
      <w:r>
        <w:rPr>
          <w:color w:val="2D2D2D"/>
          <w:sz w:val="21"/>
        </w:rPr>
        <w:t>Strong financial health, prudent capital allocation, and ability to navigate market cycles.</w:t>
      </w:r>
    </w:p>
    <w:p>
      <w:pPr>
        <w:pStyle w:val="ListBullet"/>
        <w:spacing w:after="60"/>
        <w:ind w:left="720"/>
      </w:pPr>
      <w:r>
        <w:rPr>
          <w:color w:val="2D2D2D"/>
          <w:sz w:val="21"/>
        </w:rPr>
        <w:t>Commitment to delivering world-class quality homes within committed timelines, building strong brand reputation.</w:t>
      </w:r>
    </w:p>
    <w:p>
      <w:pPr>
        <w:pStyle w:val="ListBullet"/>
        <w:spacing w:after="60"/>
        <w:ind w:left="720"/>
      </w:pPr>
      <w:r>
        <w:rPr>
          <w:color w:val="2D2D2D"/>
          <w:sz w:val="21"/>
        </w:rPr>
        <w:t>Adoption of sustainable development practices and ESG-compliant designs, often with early-mover advantages.</w:t>
      </w:r>
    </w:p>
    <w:p>
      <w:pPr>
        <w:pStyle w:val="ListBullet"/>
        <w:spacing w:after="60"/>
        <w:ind w:left="720"/>
      </w:pPr>
      <w:r>
        <w:rPr>
          <w:color w:val="2D2D2D"/>
          <w:sz w:val="21"/>
        </w:rPr>
        <w:t>Strategic expansion into high-growth markets and asset classes, including Tier 2/3 cities and alternative assets.</w:t>
      </w:r>
    </w:p>
    <w:p>
      <w:pPr>
        <w:pStyle w:val="Heading2"/>
      </w:pPr>
      <w:r>
        <w:t>Key Differentiators</w:t>
      </w:r>
    </w:p>
    <w:p>
      <w:pPr>
        <w:pStyle w:val="ListBullet"/>
        <w:spacing w:after="60"/>
        <w:ind w:left="720"/>
      </w:pPr>
      <w:r>
        <w:rPr>
          <w:color w:val="2D2D2D"/>
          <w:sz w:val="21"/>
        </w:rPr>
        <w:t>Backward-integrated operating models (e.g., Sobha Group) enhancing control over quality and timelines.</w:t>
      </w:r>
    </w:p>
    <w:p>
      <w:pPr>
        <w:pStyle w:val="ListBullet"/>
        <w:spacing w:after="60"/>
        <w:ind w:left="720"/>
      </w:pPr>
      <w:r>
        <w:rPr>
          <w:color w:val="2D2D2D"/>
          <w:sz w:val="21"/>
        </w:rPr>
        <w:t>Pioneering sustainability initiatives (e.g., Net Water Zero certification for projects).</w:t>
      </w:r>
    </w:p>
    <w:p>
      <w:pPr>
        <w:pStyle w:val="ListBullet"/>
        <w:spacing w:after="60"/>
        <w:ind w:left="720"/>
      </w:pPr>
      <w:r>
        <w:rPr>
          <w:color w:val="2D2D2D"/>
          <w:sz w:val="21"/>
        </w:rPr>
        <w:t>Leveraging advanced construction technologies (e.g., pre-cast technology) for rapid, high-quality project delivery.</w:t>
      </w:r>
    </w:p>
    <w:p>
      <w:pPr>
        <w:pStyle w:val="ListBullet"/>
        <w:spacing w:after="60"/>
        <w:ind w:left="720"/>
      </w:pPr>
      <w:r>
        <w:rPr>
          <w:color w:val="2D2D2D"/>
          <w:sz w:val="21"/>
        </w:rPr>
        <w:t>Developing integrated 'live-work-play' communities that cater to modern urban homebuyers.</w:t>
      </w:r>
    </w:p>
    <w:p>
      <w:pPr>
        <w:pStyle w:val="ListBullet"/>
        <w:spacing w:after="60"/>
        <w:ind w:left="720"/>
      </w:pPr>
      <w:r>
        <w:rPr>
          <w:color w:val="2D2D2D"/>
          <w:sz w:val="21"/>
        </w:rPr>
        <w:t>Strong brand equity and customer trust built on consistent delivery and quality.</w:t>
      </w:r>
    </w:p>
    <w:p>
      <w:pPr>
        <w:spacing w:before="120" w:after="120"/>
        <w:pBdr>
          <w:bottom w:val="single" w:sz="6" w:space="1" w:color="2E86AB"/>
        </w:pBdr>
      </w:pPr>
    </w:p>
    <w:p>
      <w:pPr>
        <w:pStyle w:val="Heading1"/>
      </w:pPr>
      <w:r>
        <w:t>5. Investment Opportunities</w:t>
      </w:r>
    </w:p>
    <w:p>
      <w:pPr>
        <w:pStyle w:val="Heading2"/>
      </w:pPr>
      <w:r>
        <w:t>1. Grade A Commercial Real Estate &amp; Data Centers</w:t>
      </w:r>
    </w:p>
    <w:p>
      <w:pPr>
        <w:pStyle w:val="ListBullet"/>
        <w:spacing w:after="60"/>
        <w:ind w:left="720"/>
      </w:pPr>
      <w:r>
        <w:rPr>
          <w:color w:val="2D2D2D"/>
          <w:sz w:val="21"/>
        </w:rPr>
      </w:r>
      <w:r>
        <w:rPr>
          <w:b/>
          <w:color w:val="1A3C6E"/>
          <w:sz w:val="21"/>
        </w:rPr>
        <w:t>Market Potential:</w:t>
      </w:r>
      <w:r>
        <w:rPr>
          <w:color w:val="2D2D2D"/>
          <w:sz w:val="21"/>
        </w:rPr>
        <w:t xml:space="preserve"> Office leasing rebounded sharply in FY2025, hitting record levels, with strong absorption and positive rental growth. India is fast becoming a global hub for data centers due to exponential digital consumption.</w:t>
      </w:r>
    </w:p>
    <w:p>
      <w:pPr>
        <w:pStyle w:val="ListBullet"/>
        <w:spacing w:after="60"/>
        <w:ind w:left="720"/>
      </w:pPr>
      <w:r>
        <w:rPr>
          <w:color w:val="2D2D2D"/>
          <w:sz w:val="21"/>
        </w:rPr>
      </w:r>
      <w:r>
        <w:rPr>
          <w:b/>
          <w:color w:val="1A3C6E"/>
          <w:sz w:val="21"/>
        </w:rPr>
        <w:t>Target Segments:</w:t>
      </w:r>
      <w:r>
        <w:rPr>
          <w:color w:val="2D2D2D"/>
          <w:sz w:val="21"/>
        </w:rPr>
        <w:t xml:space="preserve"> Global Capability Centers (GCCs), IT/ITES sector, Flexible workspaces, Technology firms and global investors in data centers.</w:t>
      </w:r>
    </w:p>
    <w:p>
      <w:pPr>
        <w:pStyle w:val="ListBullet"/>
        <w:spacing w:after="60"/>
        <w:ind w:left="720"/>
      </w:pPr>
      <w:r>
        <w:rPr>
          <w:color w:val="2D2D2D"/>
          <w:sz w:val="21"/>
        </w:rPr>
        <w:t>Continued robust demand for premium office spaces, especially in IT hubs, and the exponential growth of data centers driven by digitization.</w:t>
      </w:r>
    </w:p>
    <w:p>
      <w:pPr>
        <w:pStyle w:val="Heading2"/>
      </w:pPr>
      <w:r>
        <w:t>2. Industrial and Warehousing Logistics Platforms</w:t>
      </w:r>
    </w:p>
    <w:p>
      <w:pPr>
        <w:pStyle w:val="ListBullet"/>
        <w:spacing w:after="60"/>
        <w:ind w:left="720"/>
      </w:pPr>
      <w:r>
        <w:rPr>
          <w:color w:val="2D2D2D"/>
          <w:sz w:val="21"/>
        </w:rPr>
      </w:r>
      <w:r>
        <w:rPr>
          <w:b/>
          <w:color w:val="1A3C6E"/>
          <w:sz w:val="21"/>
        </w:rPr>
        <w:t>Market Potential:</w:t>
      </w:r>
      <w:r>
        <w:rPr>
          <w:color w:val="2D2D2D"/>
          <w:sz w:val="21"/>
        </w:rPr>
        <w:t xml:space="preserve"> Further expansion supported by PLI schemes, e-commerce boom, rapid digitization of retail, and FDI attraction due to GST and National Logistics Policy.</w:t>
      </w:r>
    </w:p>
    <w:p>
      <w:pPr>
        <w:pStyle w:val="ListBullet"/>
        <w:spacing w:after="60"/>
        <w:ind w:left="720"/>
      </w:pPr>
      <w:r>
        <w:rPr>
          <w:color w:val="2D2D2D"/>
          <w:sz w:val="21"/>
        </w:rPr>
      </w:r>
      <w:r>
        <w:rPr>
          <w:b/>
          <w:color w:val="1A3C6E"/>
          <w:sz w:val="21"/>
        </w:rPr>
        <w:t>Target Segments:</w:t>
      </w:r>
      <w:r>
        <w:rPr>
          <w:color w:val="2D2D2D"/>
          <w:sz w:val="21"/>
        </w:rPr>
        <w:t xml:space="preserve"> 3PL players, E-commerce companies, Manufacturing sector (Make in India), Logistics platforms.</w:t>
      </w:r>
    </w:p>
    <w:p>
      <w:pPr>
        <w:pStyle w:val="ListBullet"/>
        <w:spacing w:after="60"/>
        <w:ind w:left="720"/>
      </w:pPr>
      <w:r>
        <w:rPr>
          <w:color w:val="2D2D2D"/>
          <w:sz w:val="21"/>
        </w:rPr>
        <w:t>Growth fueled by e-commerce, domestic manufacturing incentives, and the need for robust supply chain networks, transitioning to institutional-grade facilities.</w:t>
      </w:r>
    </w:p>
    <w:p>
      <w:pPr>
        <w:pStyle w:val="Heading2"/>
      </w:pPr>
      <w:r>
        <w:t>3. REITs and Small &amp; Medium REITs (SM REITs)</w:t>
      </w:r>
    </w:p>
    <w:p>
      <w:pPr>
        <w:pStyle w:val="ListBullet"/>
        <w:spacing w:after="60"/>
        <w:ind w:left="720"/>
      </w:pPr>
      <w:r>
        <w:rPr>
          <w:color w:val="2D2D2D"/>
          <w:sz w:val="21"/>
        </w:rPr>
      </w:r>
      <w:r>
        <w:rPr>
          <w:b/>
          <w:color w:val="1A3C6E"/>
          <w:sz w:val="21"/>
        </w:rPr>
        <w:t>Market Potential:</w:t>
      </w:r>
      <w:r>
        <w:rPr>
          <w:color w:val="2D2D2D"/>
          <w:sz w:val="21"/>
        </w:rPr>
        <w:t xml:space="preserve"> The REIT market in India now represents over </w:t>
      </w:r>
      <w:r>
        <w:rPr>
          <w:b/>
          <w:color w:val="1A3C6E"/>
          <w:sz w:val="21"/>
        </w:rPr>
        <w:t>9%</w:t>
      </w:r>
      <w:r>
        <w:rPr>
          <w:color w:val="2D2D2D"/>
          <w:sz w:val="21"/>
        </w:rPr>
        <w:t xml:space="preserve"> of the total office stock. SM REITs are unlocking new investor participation and democratizing access to institutional-grade real estate.</w:t>
      </w:r>
    </w:p>
    <w:p>
      <w:pPr>
        <w:pStyle w:val="ListBullet"/>
        <w:spacing w:after="60"/>
        <w:ind w:left="720"/>
      </w:pPr>
      <w:r>
        <w:rPr>
          <w:color w:val="2D2D2D"/>
          <w:sz w:val="21"/>
        </w:rPr>
      </w:r>
      <w:r>
        <w:rPr>
          <w:b/>
          <w:color w:val="1A3C6E"/>
          <w:sz w:val="21"/>
        </w:rPr>
        <w:t>Target Segments:</w:t>
      </w:r>
      <w:r>
        <w:rPr>
          <w:color w:val="2D2D2D"/>
          <w:sz w:val="21"/>
        </w:rPr>
        <w:t xml:space="preserve"> Institutional investors (for Grade A commercial, warehousing, retail portfolios), Retail investors (for fractional ownership), High Net-Worth Individuals (HNIs).</w:t>
      </w:r>
    </w:p>
    <w:p>
      <w:pPr>
        <w:pStyle w:val="ListBullet"/>
        <w:spacing w:after="60"/>
        <w:ind w:left="720"/>
      </w:pPr>
      <w:r>
        <w:rPr>
          <w:color w:val="2D2D2D"/>
          <w:sz w:val="21"/>
        </w:rPr>
        <w:t>Increasing institutionalization and democratization of real estate investment through REITs, offering liquidity and fractional ownership.</w:t>
      </w:r>
    </w:p>
    <w:p>
      <w:pPr>
        <w:pStyle w:val="Heading2"/>
      </w:pPr>
      <w:r>
        <w:t>4. Residential Development in Emerging Urban Corridors</w:t>
      </w:r>
    </w:p>
    <w:p>
      <w:pPr>
        <w:pStyle w:val="ListBullet"/>
        <w:spacing w:after="60"/>
        <w:ind w:left="720"/>
      </w:pPr>
      <w:r>
        <w:rPr>
          <w:color w:val="2D2D2D"/>
          <w:sz w:val="21"/>
        </w:rPr>
      </w:r>
      <w:r>
        <w:rPr>
          <w:b/>
          <w:color w:val="1A3C6E"/>
          <w:sz w:val="21"/>
        </w:rPr>
        <w:t>Market Potential:</w:t>
      </w:r>
      <w:r>
        <w:rPr>
          <w:color w:val="2D2D2D"/>
          <w:sz w:val="21"/>
        </w:rPr>
        <w:t xml:space="preserve"> Residential demand is anticipated to sustain momentum, particularly in mid-income and premium segments. Cities like Jaipur, Bhubaneswar, Nagpur, and Vishakhapatnam are becoming growth hotspots.</w:t>
      </w:r>
    </w:p>
    <w:p>
      <w:pPr>
        <w:pStyle w:val="ListBullet"/>
        <w:spacing w:after="60"/>
        <w:ind w:left="720"/>
      </w:pPr>
      <w:r>
        <w:rPr>
          <w:color w:val="2D2D2D"/>
          <w:sz w:val="21"/>
        </w:rPr>
      </w:r>
      <w:r>
        <w:rPr>
          <w:b/>
          <w:color w:val="1A3C6E"/>
          <w:sz w:val="21"/>
        </w:rPr>
        <w:t>Target Segments:</w:t>
      </w:r>
      <w:r>
        <w:rPr>
          <w:color w:val="2D2D2D"/>
          <w:sz w:val="21"/>
        </w:rPr>
        <w:t xml:space="preserve"> Mid-income housing, Premium housing, Live-work-play communities, Suburban and Tier-2/3 city developers.</w:t>
      </w:r>
    </w:p>
    <w:p>
      <w:pPr>
        <w:pStyle w:val="ListBullet"/>
        <w:spacing w:after="60"/>
        <w:ind w:left="720"/>
      </w:pPr>
      <w:r>
        <w:rPr>
          <w:color w:val="2D2D2D"/>
          <w:sz w:val="21"/>
        </w:rPr>
        <w:t>Strategic pivot by developers towards well-connected suburban hubs and Tier-2/3 cities, driven by infrastructure-led growth and the aspirations of a growing middle class.</w:t>
      </w:r>
    </w:p>
    <w:p>
      <w:pPr>
        <w:pStyle w:val="Heading2"/>
      </w:pPr>
      <w:r>
        <w:t>5. PropTech and Real Estate Tokenization Startups</w:t>
      </w:r>
    </w:p>
    <w:p>
      <w:pPr>
        <w:pStyle w:val="ListBullet"/>
        <w:spacing w:after="60"/>
        <w:ind w:left="720"/>
      </w:pPr>
      <w:r>
        <w:rPr>
          <w:color w:val="2D2D2D"/>
          <w:sz w:val="21"/>
        </w:rPr>
      </w:r>
      <w:r>
        <w:rPr>
          <w:b/>
          <w:color w:val="1A3C6E"/>
          <w:sz w:val="21"/>
        </w:rPr>
        <w:t>Market Potential:</w:t>
      </w:r>
      <w:r>
        <w:rPr>
          <w:color w:val="2D2D2D"/>
          <w:sz w:val="21"/>
        </w:rPr>
        <w:t xml:space="preserve"> Early-stage proptech and co-living models gained visibility. Tokenisation offers improved liquidity, transparency, and broader investor participation, with potential to revolutionize the market.</w:t>
      </w:r>
    </w:p>
    <w:p>
      <w:pPr>
        <w:pStyle w:val="ListBullet"/>
        <w:spacing w:after="60"/>
        <w:ind w:left="720"/>
      </w:pPr>
      <w:r>
        <w:rPr>
          <w:color w:val="2D2D2D"/>
          <w:sz w:val="21"/>
        </w:rPr>
      </w:r>
      <w:r>
        <w:rPr>
          <w:b/>
          <w:color w:val="1A3C6E"/>
          <w:sz w:val="21"/>
        </w:rPr>
        <w:t>Target Segments:</w:t>
      </w:r>
      <w:r>
        <w:rPr>
          <w:color w:val="2D2D2D"/>
          <w:sz w:val="21"/>
        </w:rPr>
        <w:t xml:space="preserve"> AI/ML analytics platforms, IoT smart home solutions, VR/AR immersive tour providers, Blockchain-based tokenization platforms.</w:t>
      </w:r>
    </w:p>
    <w:p>
      <w:pPr>
        <w:pStyle w:val="ListBullet"/>
        <w:spacing w:after="60"/>
        <w:ind w:left="720"/>
      </w:pPr>
      <w:r>
        <w:rPr>
          <w:color w:val="2D2D2D"/>
          <w:sz w:val="21"/>
        </w:rPr>
        <w:t>Investment in innovative technology solutions that enhance efficiency, transparency, and customer experience across the real estate lifecycle, including fractional ownership via blockchain.</w:t>
      </w:r>
    </w:p>
    <w:p>
      <w:pPr>
        <w:spacing w:before="120" w:after="120"/>
        <w:pBdr>
          <w:bottom w:val="single" w:sz="6" w:space="1" w:color="2E86AB"/>
        </w:pBdr>
      </w:pPr>
    </w:p>
    <w:p>
      <w:pPr>
        <w:pStyle w:val="Heading1"/>
      </w:pPr>
      <w:r>
        <w:t>6. Risk Factors</w:t>
      </w:r>
    </w:p>
    <w:tbl>
      <w:tblPr>
        <w:tblStyle w:val="TableGrid"/>
        <w:tblW w:type="auto" w:w="0"/>
        <w:tblLook w:firstColumn="1" w:firstRow="1" w:lastColumn="0" w:lastRow="0" w:noHBand="0" w:noVBand="1" w:val="04A0"/>
      </w:tblPr>
      <w:tblGrid>
        <w:gridCol w:w="3135"/>
        <w:gridCol w:w="3135"/>
        <w:gridCol w:w="3135"/>
      </w:tblGrid>
      <w:tr>
        <w:tc>
          <w:tcPr>
            <w:tcW w:type="dxa" w:w="3135"/>
            <w:shd w:fill="1A3C6E" w:val="clear"/>
          </w:tcPr>
          <w:p>
            <w:r/>
            <w:r>
              <w:rPr>
                <w:rFonts w:ascii="Calibri" w:hAnsi="Calibri"/>
                <w:b/>
                <w:color w:val="FFFFFF"/>
                <w:sz w:val="19"/>
              </w:rPr>
              <w:t>Risk</w:t>
            </w:r>
          </w:p>
        </w:tc>
        <w:tc>
          <w:tcPr>
            <w:tcW w:type="dxa" w:w="3135"/>
            <w:shd w:fill="1A3C6E" w:val="clear"/>
          </w:tcPr>
          <w:p>
            <w:r/>
            <w:r>
              <w:rPr>
                <w:rFonts w:ascii="Calibri" w:hAnsi="Calibri"/>
                <w:b/>
                <w:color w:val="FFFFFF"/>
                <w:sz w:val="19"/>
              </w:rPr>
              <w:t>Severity</w:t>
            </w:r>
          </w:p>
        </w:tc>
        <w:tc>
          <w:tcPr>
            <w:tcW w:type="dxa" w:w="3135"/>
            <w:shd w:fill="1A3C6E" w:val="clear"/>
          </w:tcPr>
          <w:p>
            <w:r/>
            <w:r>
              <w:rPr>
                <w:rFonts w:ascii="Calibri" w:hAnsi="Calibri"/>
                <w:b/>
                <w:color w:val="FFFFFF"/>
                <w:sz w:val="19"/>
              </w:rPr>
              <w:t>Key Issue</w:t>
            </w:r>
          </w:p>
        </w:tc>
      </w:tr>
      <w:tr>
        <w:tc>
          <w:tcPr>
            <w:tcW w:type="dxa" w:w="3135"/>
          </w:tcPr>
          <w:p>
            <w:r/>
            <w:r>
              <w:rPr>
                <w:rFonts w:ascii="Calibri" w:hAnsi="Calibri"/>
                <w:color w:val="2D2D2D"/>
                <w:sz w:val="19"/>
              </w:rPr>
              <w:t>Affordability Constraints</w:t>
            </w:r>
          </w:p>
        </w:tc>
        <w:tc>
          <w:tcPr>
            <w:tcW w:type="dxa" w:w="3135"/>
          </w:tcPr>
          <w:p>
            <w:r/>
            <w:r>
              <w:rPr>
                <w:rFonts w:ascii="Calibri" w:hAnsi="Calibri"/>
                <w:color w:val="2D2D2D"/>
                <w:sz w:val="19"/>
              </w:rPr>
              <w:t>High</w:t>
            </w:r>
          </w:p>
        </w:tc>
        <w:tc>
          <w:tcPr>
            <w:tcW w:type="dxa" w:w="3135"/>
          </w:tcPr>
          <w:p>
            <w:r/>
            <w:r>
              <w:rPr>
                <w:rFonts w:ascii="Calibri" w:hAnsi="Calibri"/>
                <w:color w:val="2D2D2D"/>
                <w:sz w:val="19"/>
              </w:rPr>
              <w:t>Rising housing prices, elevated domestic interest rates, and global economic volatility are impacting homebuyer affordability. Affordable housing sales fell 9% YOY in Q1 2025.</w:t>
            </w:r>
          </w:p>
        </w:tc>
      </w:tr>
      <w:tr>
        <w:tc>
          <w:tcPr>
            <w:tcW w:type="dxa" w:w="3135"/>
            <w:shd w:fill="EBF5FB" w:val="clear"/>
          </w:tcPr>
          <w:p>
            <w:r/>
            <w:r>
              <w:rPr>
                <w:rFonts w:ascii="Calibri" w:hAnsi="Calibri"/>
                <w:color w:val="2D2D2D"/>
                <w:sz w:val="19"/>
              </w:rPr>
              <w:t>Regulatory and Approval Hurdles</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Complex land acquisition, delayed environmental clearances, and slow municipal approval processes continue to cause project delays and add execution risk.</w:t>
            </w:r>
          </w:p>
        </w:tc>
      </w:tr>
      <w:tr>
        <w:tc>
          <w:tcPr>
            <w:tcW w:type="dxa" w:w="3135"/>
          </w:tcPr>
          <w:p>
            <w:r/>
            <w:r>
              <w:rPr>
                <w:rFonts w:ascii="Calibri" w:hAnsi="Calibri"/>
                <w:color w:val="2D2D2D"/>
                <w:sz w:val="19"/>
              </w:rPr>
              <w:t>Rising Construction Costs &amp; Supply Chain Disruptions</w:t>
            </w:r>
          </w:p>
        </w:tc>
        <w:tc>
          <w:tcPr>
            <w:tcW w:type="dxa" w:w="3135"/>
          </w:tcPr>
          <w:p>
            <w:r/>
            <w:r>
              <w:rPr>
                <w:rFonts w:ascii="Calibri" w:hAnsi="Calibri"/>
                <w:color w:val="2D2D2D"/>
                <w:sz w:val="19"/>
              </w:rPr>
              <w:t>Medium</w:t>
            </w:r>
          </w:p>
        </w:tc>
        <w:tc>
          <w:tcPr>
            <w:tcW w:type="dxa" w:w="3135"/>
          </w:tcPr>
          <w:p>
            <w:r/>
            <w:r>
              <w:rPr>
                <w:rFonts w:ascii="Calibri" w:hAnsi="Calibri"/>
                <w:color w:val="2D2D2D"/>
                <w:sz w:val="19"/>
              </w:rPr>
              <w:t>Supply chain instability, increasing material costs, and margin pressures strain project viability, exacerbated by compliance costs for sustainability.</w:t>
            </w:r>
          </w:p>
        </w:tc>
      </w:tr>
      <w:tr>
        <w:tc>
          <w:tcPr>
            <w:tcW w:type="dxa" w:w="3135"/>
            <w:shd w:fill="EBF5FB" w:val="clear"/>
          </w:tcPr>
          <w:p>
            <w:r/>
            <w:r>
              <w:rPr>
                <w:rFonts w:ascii="Calibri" w:hAnsi="Calibri"/>
                <w:color w:val="2D2D2D"/>
                <w:sz w:val="19"/>
              </w:rPr>
              <w:t>Cybersecurity Risks and Data Protection</w:t>
            </w:r>
          </w:p>
        </w:tc>
        <w:tc>
          <w:tcPr>
            <w:tcW w:type="dxa" w:w="3135"/>
            <w:shd w:fill="EBF5FB" w:val="clear"/>
          </w:tcPr>
          <w:p>
            <w:r/>
            <w:r>
              <w:rPr>
                <w:rFonts w:ascii="Calibri" w:hAnsi="Calibri"/>
                <w:color w:val="2D2D2D"/>
                <w:sz w:val="19"/>
              </w:rPr>
              <w:t>Medium</w:t>
            </w:r>
          </w:p>
        </w:tc>
        <w:tc>
          <w:tcPr>
            <w:tcW w:type="dxa" w:w="3135"/>
            <w:shd w:fill="EBF5FB" w:val="clear"/>
          </w:tcPr>
          <w:p>
            <w:r/>
            <w:r>
              <w:rPr>
                <w:rFonts w:ascii="Calibri" w:hAnsi="Calibri"/>
                <w:color w:val="2D2D2D"/>
                <w:sz w:val="19"/>
              </w:rPr>
              <w:t>Increased reliance on technology for smart homes and digital transactions introduces vulnerabilities to cybersecurity threats, necessitating significant investments.</w:t>
            </w:r>
          </w:p>
        </w:tc>
      </w:tr>
      <w:tr>
        <w:tc>
          <w:tcPr>
            <w:tcW w:type="dxa" w:w="3135"/>
          </w:tcPr>
          <w:p>
            <w:r/>
            <w:r>
              <w:rPr>
                <w:rFonts w:ascii="Calibri" w:hAnsi="Calibri"/>
                <w:color w:val="2D2D2D"/>
                <w:sz w:val="19"/>
              </w:rPr>
              <w:t>Global Economic and Political Volatility</w:t>
            </w:r>
          </w:p>
        </w:tc>
        <w:tc>
          <w:tcPr>
            <w:tcW w:type="dxa" w:w="3135"/>
          </w:tcPr>
          <w:p>
            <w:r/>
            <w:r>
              <w:rPr>
                <w:rFonts w:ascii="Calibri" w:hAnsi="Calibri"/>
                <w:color w:val="2D2D2D"/>
                <w:sz w:val="19"/>
              </w:rPr>
              <w:t>High</w:t>
            </w:r>
          </w:p>
        </w:tc>
        <w:tc>
          <w:tcPr>
            <w:tcW w:type="dxa" w:w="3135"/>
          </w:tcPr>
          <w:p>
            <w:r/>
            <w:r>
              <w:rPr>
                <w:rFonts w:ascii="Calibri" w:hAnsi="Calibri"/>
                <w:color w:val="2D2D2D"/>
                <w:sz w:val="19"/>
              </w:rPr>
              <w:t>External macro factors such as geopolitical tensions, commodity price fluctuations, and capital flow uncertainties continue to impact investor sentiment and cross-border transaction volumes.</w:t>
            </w:r>
          </w:p>
        </w:tc>
      </w:tr>
    </w:tbl>
    <w:p/>
    <w:p>
      <w:pPr>
        <w:spacing w:before="120" w:after="120"/>
        <w:pBdr>
          <w:bottom w:val="single" w:sz="6" w:space="1" w:color="2E86AB"/>
        </w:pBdr>
      </w:pPr>
    </w:p>
    <w:p>
      <w:pPr>
        <w:pStyle w:val="Heading1"/>
      </w:pPr>
      <w:r>
        <w:t>7. Competitive Moat Indicators</w:t>
      </w:r>
    </w:p>
    <w:p>
      <w:pPr>
        <w:pStyle w:val="ListBullet"/>
        <w:spacing w:after="60"/>
        <w:ind w:left="720"/>
      </w:pPr>
      <w:r>
        <w:rPr>
          <w:color w:val="2D2D2D"/>
          <w:sz w:val="21"/>
        </w:rPr>
      </w:r>
      <w:r>
        <w:rPr>
          <w:b/>
          <w:color w:val="1A3C6E"/>
          <w:sz w:val="21"/>
        </w:rPr>
        <w:t>Backward-integrated operating models:</w:t>
      </w:r>
      <w:r>
        <w:rPr>
          <w:color w:val="2D2D2D"/>
          <w:sz w:val="21"/>
        </w:rPr>
        <w:t xml:space="preserve"> Enhancing control over quality, costs, and timelines from design to delivery.</w:t>
      </w:r>
    </w:p>
    <w:p>
      <w:pPr>
        <w:pStyle w:val="ListBullet"/>
        <w:spacing w:after="60"/>
        <w:ind w:left="720"/>
      </w:pPr>
      <w:r>
        <w:rPr>
          <w:color w:val="2D2D2D"/>
          <w:sz w:val="21"/>
        </w:rPr>
      </w:r>
      <w:r>
        <w:rPr>
          <w:b/>
          <w:color w:val="1A3C6E"/>
          <w:sz w:val="21"/>
        </w:rPr>
        <w:t>Pioneering sustainability and ESG initiatives:</w:t>
      </w:r>
      <w:r>
        <w:rPr>
          <w:color w:val="2D2D2D"/>
          <w:sz w:val="21"/>
        </w:rPr>
        <w:t xml:space="preserve"> Early adoption of green certifications and wellness-centric designs attracting institutional capital and end-users.</w:t>
      </w:r>
    </w:p>
    <w:p>
      <w:pPr>
        <w:pStyle w:val="ListBullet"/>
        <w:spacing w:after="60"/>
        <w:ind w:left="720"/>
      </w:pPr>
      <w:r>
        <w:rPr>
          <w:color w:val="2D2D2D"/>
          <w:sz w:val="21"/>
        </w:rPr>
      </w:r>
      <w:r>
        <w:rPr>
          <w:b/>
          <w:color w:val="1A3C6E"/>
          <w:sz w:val="21"/>
        </w:rPr>
        <w:t>Advanced construction technologies:</w:t>
      </w:r>
      <w:r>
        <w:rPr>
          <w:color w:val="2D2D2D"/>
          <w:sz w:val="21"/>
        </w:rPr>
        <w:t xml:space="preserve"> Leveraging pre-cast, modular construction, or AI-driven project management for faster, higher-quality delivery.</w:t>
      </w:r>
    </w:p>
    <w:p>
      <w:pPr>
        <w:pStyle w:val="ListBullet"/>
        <w:spacing w:after="60"/>
        <w:ind w:left="720"/>
      </w:pPr>
      <w:r>
        <w:rPr>
          <w:color w:val="2D2D2D"/>
          <w:sz w:val="21"/>
        </w:rPr>
      </w:r>
      <w:r>
        <w:rPr>
          <w:b/>
          <w:color w:val="1A3C6E"/>
          <w:sz w:val="21"/>
        </w:rPr>
        <w:t>Integrated 'live-work-play' community development:</w:t>
      </w:r>
      <w:r>
        <w:rPr>
          <w:color w:val="2D2D2D"/>
          <w:sz w:val="21"/>
        </w:rPr>
        <w:t xml:space="preserve"> Creating holistic ecosystems that cater to modern urban lifestyles, fostering loyalty and premium pricing.</w:t>
      </w:r>
    </w:p>
    <w:p>
      <w:pPr>
        <w:pStyle w:val="ListBullet"/>
        <w:spacing w:after="60"/>
        <w:ind w:left="720"/>
      </w:pPr>
      <w:r>
        <w:rPr>
          <w:color w:val="2D2D2D"/>
          <w:sz w:val="21"/>
        </w:rPr>
      </w:r>
      <w:r>
        <w:rPr>
          <w:b/>
          <w:color w:val="1A3C6E"/>
          <w:sz w:val="21"/>
        </w:rPr>
        <w:t>Strong brand equity and customer trust:</w:t>
      </w:r>
      <w:r>
        <w:rPr>
          <w:color w:val="2D2D2D"/>
          <w:sz w:val="21"/>
        </w:rPr>
        <w:t xml:space="preserve"> Built on consistent delivery, quality, transparency, and post-sales service, enabling repeat business and market leadership.</w:t>
      </w:r>
    </w:p>
    <w:p>
      <w:pPr>
        <w:pStyle w:val="ListBullet"/>
        <w:spacing w:after="60"/>
        <w:ind w:left="720"/>
      </w:pPr>
      <w:r>
        <w:rPr>
          <w:color w:val="2D2D2D"/>
          <w:sz w:val="21"/>
        </w:rPr>
      </w:r>
      <w:r>
        <w:rPr>
          <w:b/>
          <w:color w:val="1A3C6E"/>
          <w:sz w:val="21"/>
        </w:rPr>
        <w:t>Strategic land banking in high-growth corridors:</w:t>
      </w:r>
      <w:r>
        <w:rPr>
          <w:color w:val="2D2D2D"/>
          <w:sz w:val="21"/>
        </w:rPr>
        <w:t xml:space="preserve"> Securing prime locations in emerging urban and Tier 2/3 cities ahead of infrastructure development.</w:t>
      </w:r>
    </w:p>
    <w:p>
      <w:pPr>
        <w:spacing w:before="120" w:after="120"/>
        <w:pBdr>
          <w:bottom w:val="single" w:sz="6" w:space="1" w:color="2E86AB"/>
        </w:pBdr>
      </w:pPr>
    </w:p>
    <w:p>
      <w:pPr>
        <w:pStyle w:val="Heading1"/>
      </w:pPr>
      <w:r>
        <w:t>8. Due Diligence Focus Areas</w:t>
      </w:r>
    </w:p>
    <w:p>
      <w:pPr>
        <w:pStyle w:val="ListNumber"/>
      </w:pPr>
      <w:r/>
      <w:r>
        <w:rPr>
          <w:b/>
          <w:color w:val="1A3C6E"/>
        </w:rPr>
        <w:t>Financial Health &amp; Capital Structure:</w:t>
      </w:r>
      <w:r>
        <w:t xml:space="preserve"> Assess balance sheet strength, debt-to-equity ratios, cash flow management, and capital allocation strategies.</w:t>
      </w:r>
    </w:p>
    <w:p>
      <w:pPr>
        <w:pStyle w:val="ListNumber"/>
      </w:pPr>
      <w:r/>
      <w:r>
        <w:rPr>
          <w:b/>
          <w:color w:val="1A3C6E"/>
        </w:rPr>
        <w:t>Regulatory Compliance &amp; Project Approvals:</w:t>
      </w:r>
      <w:r>
        <w:t xml:space="preserve"> Verify adherence to RERA, environmental clearances, and track record of timely municipal approvals.</w:t>
      </w:r>
    </w:p>
    <w:p>
      <w:pPr>
        <w:pStyle w:val="ListNumber"/>
      </w:pPr>
      <w:r/>
      <w:r>
        <w:rPr>
          <w:b/>
          <w:color w:val="1A3C6E"/>
        </w:rPr>
        <w:t>Supply Chain Resilience &amp; Cost Management:</w:t>
      </w:r>
      <w:r>
        <w:t xml:space="preserve"> Evaluate vendor relationships, material sourcing strategies, and ability to mitigate rising construction costs.</w:t>
      </w:r>
    </w:p>
    <w:p>
      <w:pPr>
        <w:pStyle w:val="ListNumber"/>
      </w:pPr>
      <w:r/>
      <w:r>
        <w:rPr>
          <w:b/>
          <w:color w:val="1A3C6E"/>
        </w:rPr>
        <w:t>Technology Integration &amp; PropTech Adoption:</w:t>
      </w:r>
      <w:r>
        <w:t xml:space="preserve"> Examine current PropTech solutions, investment in innovation (AI, IoT, blockchain), and digital transformation roadmap.</w:t>
      </w:r>
    </w:p>
    <w:p>
      <w:pPr>
        <w:pStyle w:val="ListNumber"/>
      </w:pPr>
      <w:r/>
      <w:r>
        <w:rPr>
          <w:b/>
          <w:color w:val="1A3C6E"/>
        </w:rPr>
        <w:t>ESG Framework &amp; Sustainable Practices:</w:t>
      </w:r>
      <w:r>
        <w:t xml:space="preserve"> Review green building certifications, energy efficiency measures, and overall commitment to environmental and social governance.</w:t>
      </w:r>
    </w:p>
    <w:p>
      <w:pPr>
        <w:pStyle w:val="ListNumber"/>
      </w:pPr>
      <w:r/>
      <w:r>
        <w:rPr>
          <w:b/>
          <w:color w:val="1A3C6E"/>
        </w:rPr>
        <w:t>Market Expansion &amp; Asset Class Diversification:</w:t>
      </w:r>
      <w:r>
        <w:t xml:space="preserve"> Analyze strategy for entering new geographies (Tier 2/3 cities) and diversifying into high-growth asset classes (data centers, warehousing).</w:t>
      </w:r>
    </w:p>
    <w:p>
      <w:pPr>
        <w:pStyle w:val="ListNumber"/>
      </w:pPr>
      <w:r/>
      <w:r>
        <w:rPr>
          <w:b/>
          <w:color w:val="1A3C6E"/>
        </w:rPr>
        <w:t>Customer Satisfaction &amp; Brand Reputation:</w:t>
      </w:r>
      <w:r>
        <w:t xml:space="preserve"> Assess buyer feedback, delivery track record, and brand perception in the target segments.</w:t>
      </w:r>
    </w:p>
    <w:p>
      <w:pPr>
        <w:pStyle w:val="ListNumber"/>
      </w:pPr>
      <w:r/>
      <w:r>
        <w:rPr>
          <w:b/>
          <w:color w:val="1A3C6E"/>
        </w:rPr>
        <w:t>Leadership Team &amp; Governance:</w:t>
      </w:r>
      <w:r>
        <w:t xml:space="preserve"> Evaluate experience, vision, and corporate governance standards of the management team.</w:t>
      </w:r>
    </w:p>
    <w:p>
      <w:pPr>
        <w:spacing w:before="120" w:after="120"/>
        <w:pBdr>
          <w:bottom w:val="single" w:sz="6" w:space="1" w:color="2E86AB"/>
        </w:pBdr>
      </w:pPr>
    </w:p>
    <w:p>
      <w:pPr>
        <w:pStyle w:val="Heading1"/>
      </w:pPr>
      <w:r>
        <w:t>9. Investment Thesis</w:t>
      </w:r>
    </w:p>
    <w:p>
      <w:r>
        <w:t>India's real estate sector is undergoing a transformative period, driven by robust urbanization, structural reforms, and evolving consumer aspirations, positioning it for sustained high growth through FY2025-26 and beyond. We believe investing in companies that are future-ready – characterized by strong financial health, deep technology integration (PropTech), commitment to sustainability (ESG), and strategic diversification into high-growth asset classes and emerging urban corridors – will capture significant value. This secular growth story, supported by strong domestic demand and institutional capital, presents a compelling opportunity for superior returns as the sector institutionalizes and modernizes.</w:t>
      </w:r>
    </w:p>
    <w:p>
      <w:pPr>
        <w:spacing w:before="120" w:after="120"/>
        <w:pBdr>
          <w:bottom w:val="single" w:sz="6" w:space="1" w:color="2E86AB"/>
        </w:pBdr>
      </w:pPr>
    </w:p>
    <w:p>
      <w:pPr>
        <w:pStyle w:val="Heading1"/>
      </w:pPr>
      <w:r>
        <w:t>10. Signal Strength</w:t>
      </w:r>
    </w:p>
    <w:p>
      <w:r>
        <w:rPr>
          <w:b/>
          <w:color w:val="5A5A5A"/>
          <w:sz w:val="22"/>
        </w:rPr>
        <w:t xml:space="preserve">Rating: </w:t>
      </w:r>
      <w:r>
        <w:rPr>
          <w:color w:val="2D2D2D"/>
          <w:sz w:val="22"/>
        </w:rPr>
        <w:t>8/10</w:t>
      </w:r>
    </w:p>
    <w:p>
      <w:r>
        <w:rPr>
          <w:b/>
          <w:color w:val="5A5A5A"/>
          <w:sz w:val="22"/>
        </w:rPr>
        <w:t xml:space="preserve">Justification: </w:t>
      </w:r>
      <w:r>
        <w:rPr>
          <w:color w:val="2D2D2D"/>
          <w:sz w:val="22"/>
        </w:rPr>
        <w:t>The report provides a strong investment signal for the Indian real estate sector. It offers comprehensive coverage, including historical performance (FY 2019-2025), current trends (FY 2024-25), and clear forecasts (FY 2025-26 and beyond). Key metrics are precise and bolded, such as the **77%** surge in residential sales, **USD 6.99 billion** in FY24-25 transactions, and **9%** REIT market share of office stock. The analysis is granular, identifying opportunities across diverse asset classes (residential, commercial, industrial, data centers, REITs) and geographies (Tier 1 vs. Tier 2/3 cities). The inclusion of 'Developer speak' adds valuable qualitative insights, and risk factors are clearly outlined with supporting evidence. The report's focus on future-ready assets, technology integration (PropTech, tokenization), and sustainability provides highly actionable directions for investment, making it very relevant and timely for strategic decision-making.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86A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