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State Of Ai 2025 Agents Innovation Cmyk V1: Investment Analysis</w:t>
      </w:r>
    </w:p>
    <w:p>
      <w:pPr>
        <w:spacing w:before="120" w:after="120"/>
        <w:pBdr>
          <w:bottom w:val="single" w:sz="6" w:space="1" w:color="2E86AB"/>
        </w:pBdr>
      </w:pPr>
    </w:p>
    <w:p>
      <w:r>
        <w:rPr>
          <w:b/>
          <w:color w:val="5A5A5A"/>
          <w:sz w:val="22"/>
        </w:rPr>
        <w:t xml:space="preserve">Sector: </w:t>
      </w:r>
      <w:r>
        <w:rPr>
          <w:color w:val="2D2D2D"/>
          <w:sz w:val="22"/>
        </w:rPr>
        <w:t>Unknown</w:t>
      </w:r>
    </w:p>
    <w:p>
      <w:r>
        <w:rPr>
          <w:b/>
          <w:color w:val="5A5A5A"/>
          <w:sz w:val="22"/>
        </w:rPr>
        <w:t xml:space="preserve">Processed At: </w:t>
      </w:r>
      <w:r>
        <w:rPr>
          <w:color w:val="2D2D2D"/>
          <w:sz w:val="22"/>
        </w:rPr>
        <w:t>2026-03-15T09:03:50.925694</w:t>
      </w:r>
    </w:p>
    <w:p>
      <w:pPr>
        <w:spacing w:before="120" w:after="120"/>
        <w:pBdr>
          <w:bottom w:val="single" w:sz="6" w:space="1" w:color="2E86AB"/>
        </w:pBdr>
      </w:pPr>
    </w:p>
    <w:p>
      <w:pPr>
        <w:pStyle w:val="Heading1"/>
      </w:pPr>
      <w:r>
        <w:t>Investment Signals</w:t>
      </w:r>
    </w:p>
    <w:p>
      <w:pPr>
        <w:spacing w:before="120" w:after="120"/>
        <w:pBdr>
          <w:bottom w:val="single" w:sz="6" w:space="1" w:color="2E86AB"/>
        </w:pBdr>
      </w:pPr>
    </w:p>
    <w:p>
      <w:pPr>
        <w:pStyle w:val="Heading1"/>
      </w:pPr>
      <w:r>
        <w:t>Pitch Brief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86A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A3C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