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State Of Ai 2025 Agents Innovation Cmyk V1: Investment Analysis</w:t>
      </w:r>
    </w:p>
    <w:p>
      <w:pPr>
        <w:spacing w:before="120" w:after="120"/>
        <w:pBdr>
          <w:bottom w:val="single" w:sz="6" w:space="1" w:color="2E86AB"/>
        </w:pBdr>
      </w:pPr>
    </w:p>
    <w:p>
      <w:r>
        <w:rPr>
          <w:b/>
          <w:color w:val="5A5A5A"/>
          <w:sz w:val="22"/>
        </w:rPr>
        <w:t xml:space="preserve">Sector: </w:t>
      </w:r>
      <w:r>
        <w:rPr>
          <w:color w:val="2D2D2D"/>
          <w:sz w:val="22"/>
        </w:rPr>
        <w:t>Unknown</w:t>
      </w:r>
    </w:p>
    <w:p>
      <w:r>
        <w:rPr>
          <w:b/>
          <w:color w:val="5A5A5A"/>
          <w:sz w:val="22"/>
        </w:rPr>
        <w:t xml:space="preserve">Processed At: </w:t>
      </w:r>
      <w:r>
        <w:rPr>
          <w:color w:val="2D2D2D"/>
          <w:sz w:val="22"/>
        </w:rPr>
        <w:t>2026-03-15T09:04:43.682862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Investment Signals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Pitch Brief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86A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3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