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State Of Ai 2025 Agents Innovation Cmyk V1: Investment Analysis</w:t>
      </w:r>
    </w:p>
    <w:p>
      <w:pPr>
        <w:spacing w:before="120" w:after="120"/>
        <w:pBdr>
          <w:bottom w:val="single" w:sz="6" w:space="1" w:color="2E86AB"/>
        </w:pBdr>
      </w:pPr>
    </w:p>
    <w:p>
      <w:r>
        <w:rPr>
          <w:b/>
          <w:color w:val="5A5A5A"/>
          <w:sz w:val="22"/>
        </w:rPr>
        <w:t xml:space="preserve">Sector: </w:t>
      </w:r>
      <w:r>
        <w:rPr>
          <w:color w:val="2D2D2D"/>
          <w:sz w:val="22"/>
        </w:rPr>
        <w:t>&lt;think&gt;The user wants me to classify a report excerpt into one of the given sectors. Let me analyze the content:</w:t>
      </w:r>
    </w:p>
    <w:p>
      <w:r>
        <w:t>The report is titled "The state of AI in 2025" and discusses:</w:t>
      </w:r>
    </w:p>
    <w:p>
      <w:pPr>
        <w:pStyle w:val="ListBullet"/>
        <w:spacing w:after="60"/>
        <w:ind w:left="720"/>
      </w:pPr>
      <w:r>
        <w:rPr>
          <w:color w:val="2D2D2D"/>
          <w:sz w:val="21"/>
        </w:rPr>
        <w:t>AI adoption in organizations</w:t>
      </w:r>
    </w:p>
    <w:p>
      <w:pPr>
        <w:pStyle w:val="ListBullet"/>
        <w:spacing w:after="60"/>
        <w:ind w:left="720"/>
      </w:pPr>
      <w:r>
        <w:rPr>
          <w:color w:val="2D2D2D"/>
          <w:sz w:val="21"/>
        </w:rPr>
        <w:t>AI agents</w:t>
      </w:r>
    </w:p>
    <w:p>
      <w:r>
        <w:t>-</w:t>
      </w:r>
    </w:p>
    <w:p>
      <w:r>
        <w:rPr>
          <w:b/>
          <w:color w:val="5A5A5A"/>
          <w:sz w:val="22"/>
        </w:rPr>
        <w:t xml:space="preserve">Processed At: </w:t>
      </w:r>
      <w:r>
        <w:rPr>
          <w:color w:val="2D2D2D"/>
          <w:sz w:val="22"/>
        </w:rPr>
        <w:t>2026-03-15T09:26:44.835428</w:t>
      </w:r>
    </w:p>
    <w:p>
      <w:pPr>
        <w:spacing w:before="120" w:after="120"/>
        <w:pBdr>
          <w:bottom w:val="single" w:sz="6" w:space="1" w:color="2E86AB"/>
        </w:pBdr>
      </w:pPr>
    </w:p>
    <w:p>
      <w:pPr>
        <w:pStyle w:val="Heading1"/>
      </w:pPr>
      <w:r>
        <w:t>Investment Signals</w:t>
      </w:r>
    </w:p>
    <w:p>
      <w:r>
        <w:rPr>
          <w:b/>
          <w:color w:val="5A5A5A"/>
          <w:sz w:val="22"/>
        </w:rPr>
        <w:t xml:space="preserve">Report Title: </w:t>
      </w:r>
      <w:r>
        <w:rPr>
          <w:color w:val="2D2D2D"/>
          <w:sz w:val="22"/>
        </w:rPr>
        <w:t>The State of AI in 2025: Agents, Innovation, and Transformation</w:t>
      </w:r>
    </w:p>
    <w:p>
      <w:r>
        <w:rPr>
          <w:b/>
          <w:color w:val="5A5A5A"/>
          <w:sz w:val="22"/>
        </w:rPr>
        <w:t xml:space="preserve">Report Date: </w:t>
      </w:r>
      <w:r>
        <w:rPr>
          <w:color w:val="2D2D2D"/>
          <w:sz w:val="22"/>
        </w:rPr>
        <w:t>November 2025</w:t>
      </w:r>
    </w:p>
    <w:p>
      <w:r>
        <w:rPr>
          <w:b/>
          <w:color w:val="5A5A5A"/>
          <w:sz w:val="22"/>
        </w:rPr>
        <w:t xml:space="preserve">Data Source: </w:t>
      </w:r>
      <w:r>
        <w:rPr>
          <w:color w:val="2D2D2D"/>
          <w:sz w:val="22"/>
        </w:rPr>
        <w:t>McKinsey Global Survey on the state of AI, 1,993 participants across 105 nations, fielded June 25-July 29, 2025</w:t>
      </w:r>
    </w:p>
    <w:p>
      <w:pPr>
        <w:spacing w:before="120" w:after="120"/>
        <w:pBdr>
          <w:bottom w:val="single" w:sz="6" w:space="1" w:color="2E86AB"/>
        </w:pBdr>
      </w:pPr>
    </w:p>
    <w:p>
      <w:pPr>
        <w:pStyle w:val="Heading2"/>
      </w:pPr>
      <w:r>
        <w:t>1. Executive Summary</w:t>
      </w:r>
    </w:p>
    <w:p>
      <w:r>
        <w:t>The AI market is at a critical inflection point where widespread adoption (88% of organizations) is not yet translating into enterprise-wide value capture. Only 39% report EBIT impact, and just 6% qualify as high performers achieving transformative outcomes. The gap between experimentation and scaled deployment represents a massive opportunity for investors to identify companies that can bridge this divide, particularly those leveraging AI agents (62% experimenting) for workflow transformation.</w:t>
      </w:r>
    </w:p>
    <w:p>
      <w:pPr>
        <w:pStyle w:val="ListBullet"/>
        <w:spacing w:after="60"/>
        <w:ind w:left="720"/>
      </w:pPr>
      <w:r>
        <w:rPr>
          <w:color w:val="2D2D2D"/>
          <w:sz w:val="21"/>
        </w:rPr>
      </w:r>
      <w:r>
        <w:rPr>
          <w:b/>
          <w:color w:val="1A3C6E"/>
          <w:sz w:val="21"/>
        </w:rPr>
        <w:t>Widespread adoption with scaling gap: 88% use AI in at least one function, but only ~1/3 have begun scaling enterprise-wide</w:t>
      </w:r>
      <w:r>
        <w:rPr>
          <w:color w:val="2D2D2D"/>
          <w:sz w:val="21"/>
        </w:rPr>
      </w:r>
    </w:p>
    <w:p>
      <w:pPr>
        <w:pStyle w:val="ListBullet"/>
        <w:spacing w:after="60"/>
        <w:ind w:left="720"/>
      </w:pPr>
      <w:r>
        <w:rPr>
          <w:color w:val="2D2D2D"/>
          <w:sz w:val="21"/>
        </w:rPr>
      </w:r>
      <w:r>
        <w:rPr>
          <w:b/>
          <w:color w:val="1A3C6E"/>
          <w:sz w:val="21"/>
        </w:rPr>
        <w:t>AI agents emerging as key differentiator: 23% scaling agentic AI systems, with high performers 3x more likely to scale agents</w:t>
      </w:r>
      <w:r>
        <w:rPr>
          <w:color w:val="2D2D2D"/>
          <w:sz w:val="21"/>
        </w:rPr>
      </w:r>
    </w:p>
    <w:p>
      <w:pPr>
        <w:pStyle w:val="ListBullet"/>
        <w:spacing w:after="60"/>
        <w:ind w:left="720"/>
      </w:pPr>
      <w:r>
        <w:rPr>
          <w:color w:val="2D2D2D"/>
          <w:sz w:val="21"/>
        </w:rPr>
      </w:r>
      <w:r>
        <w:rPr>
          <w:b/>
          <w:color w:val="1A3C6E"/>
          <w:sz w:val="21"/>
        </w:rPr>
        <w:t>Innovation impact outpaces financial impact: 64% report AI enabling innovation, but only 39% see enterprise EBIT impact</w:t>
      </w:r>
      <w:r>
        <w:rPr>
          <w:color w:val="2D2D2D"/>
          <w:sz w:val="21"/>
        </w:rPr>
      </w:r>
    </w:p>
    <w:p>
      <w:pPr>
        <w:pStyle w:val="ListBullet"/>
        <w:spacing w:after="60"/>
        <w:ind w:left="720"/>
      </w:pPr>
      <w:r>
        <w:rPr>
          <w:color w:val="2D2D2D"/>
          <w:sz w:val="21"/>
        </w:rPr>
      </w:r>
      <w:r>
        <w:rPr>
          <w:b/>
          <w:color w:val="1A3C6E"/>
          <w:sz w:val="21"/>
        </w:rPr>
        <w:t>High performer differentiation: 6% achieving &gt;5% EBIT impact from AI are 3.6x more likely to pursue transformative change and 2.8x more likely to redesign workflows</w:t>
      </w:r>
      <w:r>
        <w:rPr>
          <w:color w:val="2D2D2D"/>
          <w:sz w:val="21"/>
        </w:rPr>
      </w:r>
    </w:p>
    <w:p>
      <w:pPr>
        <w:spacing w:before="80" w:after="80"/>
        <w:ind w:left="567"/>
        <w:pBdr>
          <w:left w:val="single" w:sz="12" w:space="4" w:color="2E86AB"/>
        </w:pBdr>
      </w:pPr>
      <w:r>
        <w:rPr>
          <w:color w:val="5A5A5A"/>
        </w:rPr>
      </w:r>
      <w:r>
        <w:rPr>
          <w:b/>
          <w:color w:val="2E86AB"/>
        </w:rPr>
        <w:t>Headline Metric:</w:t>
      </w:r>
      <w:r>
        <w:rPr>
          <w:color w:val="5A5A5A"/>
        </w:rPr>
        <w:t xml:space="preserve"> 88% of organizations now use AI regularly, but only ~33% have scaled AI beyond pilots—representing a massive value capture gap for differentiated players</w:t>
      </w:r>
    </w:p>
    <w:p>
      <w:pPr>
        <w:spacing w:before="120" w:after="120"/>
        <w:pBdr>
          <w:bottom w:val="single" w:sz="6" w:space="1" w:color="2E86AB"/>
        </w:pBdr>
      </w:pPr>
    </w:p>
    <w:p>
      <w:pPr>
        <w:pStyle w:val="Heading2"/>
      </w:pPr>
      <w:r>
        <w:t>2. Market Opportunity</w:t>
      </w:r>
    </w:p>
    <w:p>
      <w:r>
        <w:t>The AI deployment gap represents $ trillions in unrealized enterprise value, with agentic AI and workflow transformation as the primary value capture mechanisms</w:t>
      </w:r>
    </w:p>
    <w:p>
      <w:pPr>
        <w:pStyle w:val="ListBullet"/>
        <w:spacing w:after="60"/>
        <w:ind w:left="720"/>
      </w:pPr>
      <w:r>
        <w:rPr>
          <w:color w:val="2D2D2D"/>
          <w:sz w:val="21"/>
        </w:rPr>
      </w:r>
      <w:r>
        <w:rPr>
          <w:b/>
          <w:color w:val="1A3C6E"/>
          <w:sz w:val="21"/>
        </w:rPr>
        <w:t>Organizations using AI in at least one function:</w:t>
      </w:r>
      <w:r>
        <w:rPr>
          <w:color w:val="2D2D2D"/>
          <w:sz w:val="21"/>
        </w:rPr>
        <w:t xml:space="preserve"> </w:t>
      </w:r>
      <w:r>
        <w:rPr>
          <w:b/>
          <w:color w:val="1A3C6E"/>
          <w:sz w:val="21"/>
        </w:rPr>
        <w:t>88%</w:t>
      </w:r>
      <w:r>
        <w:rPr>
          <w:color w:val="2D2D2D"/>
          <w:sz w:val="21"/>
        </w:rPr>
        <w:t xml:space="preserve"> — Up from 78% year-over-year, nearly universal adoption</w:t>
      </w:r>
    </w:p>
    <w:p>
      <w:pPr>
        <w:pStyle w:val="ListBullet"/>
        <w:spacing w:after="60"/>
        <w:ind w:left="720"/>
      </w:pPr>
      <w:r>
        <w:rPr>
          <w:color w:val="2D2D2D"/>
          <w:sz w:val="21"/>
        </w:rPr>
      </w:r>
      <w:r>
        <w:rPr>
          <w:b/>
          <w:color w:val="1A3C6E"/>
          <w:sz w:val="21"/>
        </w:rPr>
        <w:t>Organizations that have NOT begun scaling AI enterprise-wide:</w:t>
      </w:r>
      <w:r>
        <w:rPr>
          <w:color w:val="2D2D2D"/>
          <w:sz w:val="21"/>
        </w:rPr>
        <w:t xml:space="preserve"> </w:t>
      </w:r>
      <w:r>
        <w:rPr>
          <w:b/>
          <w:color w:val="1A3C6E"/>
          <w:sz w:val="21"/>
        </w:rPr>
        <w:t>~65%</w:t>
      </w:r>
      <w:r>
        <w:rPr>
          <w:color w:val="2D2D2D"/>
          <w:sz w:val="21"/>
        </w:rPr>
        <w:t xml:space="preserve"> — Two-thirds remain in experimentation or piloting phases</w:t>
      </w:r>
    </w:p>
    <w:p>
      <w:pPr>
        <w:pStyle w:val="ListBullet"/>
        <w:spacing w:after="60"/>
        <w:ind w:left="720"/>
      </w:pPr>
      <w:r>
        <w:rPr>
          <w:color w:val="2D2D2D"/>
          <w:sz w:val="21"/>
        </w:rPr>
      </w:r>
      <w:r>
        <w:rPr>
          <w:b/>
          <w:color w:val="1A3C6E"/>
          <w:sz w:val="21"/>
        </w:rPr>
        <w:t>Organizations scaling AI agents:</w:t>
      </w:r>
      <w:r>
        <w:rPr>
          <w:color w:val="2D2D2D"/>
          <w:sz w:val="21"/>
        </w:rPr>
        <w:t xml:space="preserve"> </w:t>
      </w:r>
      <w:r>
        <w:rPr>
          <w:b/>
          <w:color w:val="1A3C6E"/>
          <w:sz w:val="21"/>
        </w:rPr>
        <w:t>23%</w:t>
      </w:r>
      <w:r>
        <w:rPr>
          <w:color w:val="2D2D2D"/>
          <w:sz w:val="21"/>
        </w:rPr>
        <w:t xml:space="preserve"> — Only about one-quarter have reached scaling phase for agentic AI</w:t>
      </w:r>
    </w:p>
    <w:p>
      <w:pPr>
        <w:pStyle w:val="ListBullet"/>
        <w:spacing w:after="60"/>
        <w:ind w:left="720"/>
      </w:pPr>
      <w:r>
        <w:rPr>
          <w:color w:val="2D2D2D"/>
          <w:sz w:val="21"/>
        </w:rPr>
      </w:r>
      <w:r>
        <w:rPr>
          <w:b/>
          <w:color w:val="1A3C6E"/>
          <w:sz w:val="21"/>
        </w:rPr>
        <w:t>Expected enterprise workforce reduction from AI in next year:</w:t>
      </w:r>
      <w:r>
        <w:rPr>
          <w:color w:val="2D2D2D"/>
          <w:sz w:val="21"/>
        </w:rPr>
        <w:t xml:space="preserve"> </w:t>
      </w:r>
      <w:r>
        <w:rPr>
          <w:b/>
          <w:color w:val="1A3C6E"/>
          <w:sz w:val="21"/>
        </w:rPr>
        <w:t>32%</w:t>
      </w:r>
      <w:r>
        <w:rPr>
          <w:color w:val="2D2D2D"/>
          <w:sz w:val="21"/>
        </w:rPr>
        <w:t xml:space="preserve"> — Median 30% expect workforce decreases across business functions</w:t>
      </w:r>
    </w:p>
    <w:p>
      <w:pPr>
        <w:pStyle w:val="ListBullet"/>
        <w:spacing w:after="60"/>
        <w:ind w:left="720"/>
      </w:pPr>
      <w:r>
        <w:rPr>
          <w:color w:val="2D2D2D"/>
          <w:sz w:val="21"/>
        </w:rPr>
      </w:r>
      <w:r>
        <w:rPr>
          <w:b/>
          <w:color w:val="1A3C6E"/>
          <w:sz w:val="21"/>
        </w:rPr>
        <w:t>AI high performers (achieving &gt;5% EBIT impact):</w:t>
      </w:r>
      <w:r>
        <w:rPr>
          <w:color w:val="2D2D2D"/>
          <w:sz w:val="21"/>
        </w:rPr>
        <w:t xml:space="preserve"> </w:t>
      </w:r>
      <w:r>
        <w:rPr>
          <w:b/>
          <w:color w:val="1A3C6E"/>
          <w:sz w:val="21"/>
        </w:rPr>
        <w:t>6%</w:t>
      </w:r>
      <w:r>
        <w:rPr>
          <w:color w:val="2D2D2D"/>
          <w:sz w:val="21"/>
        </w:rPr>
        <w:t xml:space="preserve"> — Only 6% of respondents qualify as high performers, representing the elite tier</w:t>
      </w:r>
    </w:p>
    <w:p>
      <w:pPr>
        <w:spacing w:before="120" w:after="120"/>
        <w:pBdr>
          <w:bottom w:val="single" w:sz="6" w:space="1" w:color="2E86AB"/>
        </w:pBdr>
      </w:pPr>
    </w:p>
    <w:p>
      <w:pPr>
        <w:pStyle w:val="Heading2"/>
      </w:pPr>
      <w:r>
        <w:t>3. Key Trends</w:t>
      </w:r>
    </w:p>
    <w:p>
      <w:pPr>
        <w:pStyle w:val="Heading3"/>
      </w:pPr>
      <w:r>
        <w:t>1. Widespread Adoption with Shallow Deployment</w:t>
      </w:r>
    </w:p>
    <w:p>
      <w:r>
        <w:t>Nearly all organizations (88%) use AI, but most remain in early pilot phases rather than achieving enterprise-wide scaled deployment. Only one-third have begun scaling AI programs across the organization.</w:t>
      </w:r>
    </w:p>
    <w:p>
      <w:r/>
      <w:r>
        <w:rPr>
          <w:b/>
        </w:rPr>
        <w:t>Key Data Points</w:t>
      </w:r>
      <w:r/>
    </w:p>
    <w:p>
      <w:pPr>
        <w:pStyle w:val="ListBullet"/>
        <w:spacing w:after="60"/>
        <w:ind w:left="720"/>
      </w:pPr>
      <w:r>
        <w:rPr>
          <w:color w:val="2D2D2D"/>
          <w:sz w:val="21"/>
        </w:rPr>
        <w:t>88% report regular AI use in at least one business function (up from 78% in 2024)</w:t>
      </w:r>
    </w:p>
    <w:p>
      <w:pPr>
        <w:pStyle w:val="ListBullet"/>
        <w:spacing w:after="60"/>
        <w:ind w:left="720"/>
      </w:pPr>
      <w:r>
        <w:rPr>
          <w:color w:val="2D2D2D"/>
          <w:sz w:val="21"/>
        </w:rPr>
        <w:t>65% have not yet begun scaling AI across the enterprise</w:t>
      </w:r>
    </w:p>
    <w:p>
      <w:pPr>
        <w:pStyle w:val="ListBullet"/>
        <w:spacing w:after="60"/>
        <w:ind w:left="720"/>
      </w:pPr>
      <w:r>
        <w:rPr>
          <w:color w:val="2D2D2D"/>
          <w:sz w:val="21"/>
        </w:rPr>
        <w:t>Larger companies ($5B+ revenue) are far more likely to scale: nearly 50% vs. 29% for companies &lt;$100M revenue</w:t>
      </w:r>
    </w:p>
    <w:p>
      <w:pPr>
        <w:pStyle w:val="ListBullet"/>
        <w:spacing w:after="60"/>
        <w:ind w:left="720"/>
      </w:pPr>
      <w:r>
        <w:rPr>
          <w:color w:val="2D2D2D"/>
          <w:sz w:val="21"/>
        </w:rPr>
        <w:t>Half of respondents use AI in three or more functions, up from 33% in 2021</w:t>
      </w:r>
    </w:p>
    <w:p>
      <w:pPr>
        <w:pStyle w:val="Heading3"/>
      </w:pPr>
      <w:r>
        <w:t>2. AI Agents Gaining Traction but Not Yet Scaled</w:t>
      </w:r>
    </w:p>
    <w:p>
      <w:r>
        <w:t>AI agents (systems capable of planning and executing multiple steps in workflows) are generating significant interest, with nearly two-thirds of organizations experimenting. However, deployment remains limited to one or two functions for most.</w:t>
      </w:r>
    </w:p>
    <w:p>
      <w:r/>
      <w:r>
        <w:rPr>
          <w:b/>
        </w:rPr>
        <w:t>Key Data Points</w:t>
      </w:r>
      <w:r/>
    </w:p>
    <w:p>
      <w:pPr>
        <w:pStyle w:val="ListBullet"/>
        <w:spacing w:after="60"/>
        <w:ind w:left="720"/>
      </w:pPr>
      <w:r>
        <w:rPr>
          <w:color w:val="2D2D2D"/>
          <w:sz w:val="21"/>
        </w:rPr>
        <w:t>62% of respondents say their organizations are at least experimenting with AI agents</w:t>
      </w:r>
    </w:p>
    <w:p>
      <w:pPr>
        <w:pStyle w:val="ListBullet"/>
        <w:spacing w:after="60"/>
        <w:ind w:left="720"/>
      </w:pPr>
      <w:r>
        <w:rPr>
          <w:color w:val="2D2D2D"/>
          <w:sz w:val="21"/>
        </w:rPr>
        <w:t>23% report scaling an agentic AI system somewhere in their enterprise</w:t>
      </w:r>
    </w:p>
    <w:p>
      <w:pPr>
        <w:pStyle w:val="ListBullet"/>
        <w:spacing w:after="60"/>
        <w:ind w:left="720"/>
      </w:pPr>
      <w:r>
        <w:rPr>
          <w:color w:val="2D2D2D"/>
          <w:sz w:val="21"/>
        </w:rPr>
        <w:t>In any given business function, no more than 10% are scaling AI agents</w:t>
      </w:r>
    </w:p>
    <w:p>
      <w:pPr>
        <w:pStyle w:val="ListBullet"/>
        <w:spacing w:after="60"/>
        <w:ind w:left="720"/>
      </w:pPr>
      <w:r>
        <w:rPr>
          <w:color w:val="2D2D2D"/>
          <w:sz w:val="21"/>
        </w:rPr>
        <w:t>IT and knowledge management have highest agent adoption; manufacturing and supply chain lowest</w:t>
      </w:r>
    </w:p>
    <w:p>
      <w:pPr>
        <w:pStyle w:val="Heading3"/>
      </w:pPr>
      <w:r>
        <w:t>3. Innovation Impact Exceeds Financial Impact</w:t>
      </w:r>
    </w:p>
    <w:p>
      <w:r>
        <w:t>Organizations report strong qualitative benefits from AI (innovation, customer satisfaction, competitive differentiation), but enterprise-level EBIT impact remains limited. Cost benefits are concentrated in specific functions.</w:t>
      </w:r>
    </w:p>
    <w:p>
      <w:r/>
      <w:r>
        <w:rPr>
          <w:b/>
        </w:rPr>
        <w:t>Key Data Points</w:t>
      </w:r>
      <w:r/>
    </w:p>
    <w:p>
      <w:pPr>
        <w:pStyle w:val="ListBullet"/>
        <w:spacing w:after="60"/>
        <w:ind w:left="720"/>
      </w:pPr>
      <w:r>
        <w:rPr>
          <w:color w:val="2D2D2D"/>
          <w:sz w:val="21"/>
        </w:rPr>
        <w:t>64% say AI is enabling innovation at their organizations</w:t>
      </w:r>
    </w:p>
    <w:p>
      <w:pPr>
        <w:pStyle w:val="ListBullet"/>
        <w:spacing w:after="60"/>
        <w:ind w:left="720"/>
      </w:pPr>
      <w:r>
        <w:rPr>
          <w:color w:val="2D2D2D"/>
          <w:sz w:val="21"/>
        </w:rPr>
        <w:t>39% report any level of EBIT impact from AI (most report &lt;5% of EBIT)</w:t>
      </w:r>
    </w:p>
    <w:p>
      <w:pPr>
        <w:pStyle w:val="ListBullet"/>
        <w:spacing w:after="60"/>
        <w:ind w:left="720"/>
      </w:pPr>
      <w:r>
        <w:rPr>
          <w:color w:val="2D2D2D"/>
          <w:sz w:val="21"/>
        </w:rPr>
        <w:t>45% report improved customer satisfaction; 45% report improved competitive differentiation</w:t>
      </w:r>
    </w:p>
    <w:p>
      <w:pPr>
        <w:pStyle w:val="ListBullet"/>
        <w:spacing w:after="60"/>
        <w:ind w:left="720"/>
      </w:pPr>
      <w:r>
        <w:rPr>
          <w:color w:val="2D2D2D"/>
          <w:sz w:val="21"/>
        </w:rPr>
        <w:t>Cost decreases most common in software engineering (56% report decrease), manufacturing (51%), and IT (49%)</w:t>
      </w:r>
    </w:p>
    <w:p>
      <w:pPr>
        <w:pStyle w:val="Heading3"/>
      </w:pPr>
      <w:r>
        <w:t>4. High Performers Pursue Transformation, Not Just Efficiency</w:t>
      </w:r>
    </w:p>
    <w:p>
      <w:r>
        <w:t>The elite cohort of AI high performers (6% of respondents) distinguish themselves by setting growth and innovation objectives alongside efficiency goals, and by fundamentally redesigning workflows rather than layering AI onto existing processes.</w:t>
      </w:r>
    </w:p>
    <w:p>
      <w:r/>
      <w:r>
        <w:rPr>
          <w:b/>
        </w:rPr>
        <w:t>Key Data Points</w:t>
      </w:r>
      <w:r/>
    </w:p>
    <w:p>
      <w:pPr>
        <w:pStyle w:val="ListBullet"/>
        <w:spacing w:after="60"/>
        <w:ind w:left="720"/>
      </w:pPr>
      <w:r>
        <w:rPr>
          <w:color w:val="2D2D2D"/>
          <w:sz w:val="21"/>
        </w:rPr>
        <w:t>High performers 3.6x more likely to pursue transformative business change</w:t>
      </w:r>
    </w:p>
    <w:p>
      <w:pPr>
        <w:pStyle w:val="ListBullet"/>
        <w:spacing w:after="60"/>
        <w:ind w:left="720"/>
      </w:pPr>
      <w:r>
        <w:rPr>
          <w:color w:val="2D2D2D"/>
          <w:sz w:val="21"/>
        </w:rPr>
        <w:t>80% of all respondents set efficiency as AI objective, but high performers also set growth (50%) and innovation (79%)</w:t>
      </w:r>
    </w:p>
    <w:p>
      <w:pPr>
        <w:pStyle w:val="ListBullet"/>
        <w:spacing w:after="60"/>
        <w:ind w:left="720"/>
      </w:pPr>
      <w:r>
        <w:rPr>
          <w:color w:val="2D2D2D"/>
          <w:sz w:val="21"/>
        </w:rPr>
        <w:t>High performers 2.8x more likely to fundamentally redesign workflows (55% vs. 20%)</w:t>
      </w:r>
    </w:p>
    <w:p>
      <w:pPr>
        <w:pStyle w:val="ListBullet"/>
        <w:spacing w:after="60"/>
        <w:ind w:left="720"/>
      </w:pPr>
      <w:r>
        <w:rPr>
          <w:color w:val="2D2D2D"/>
          <w:sz w:val="21"/>
        </w:rPr>
        <w:t>High performers 3x more likely to have senior leaders who demonstrate ownership of AI initiatives</w:t>
      </w:r>
    </w:p>
    <w:p>
      <w:pPr>
        <w:pStyle w:val="Heading3"/>
      </w:pPr>
      <w:r>
        <w:t>5. Risk Mitigation Improving but Consequences Remain Common</w:t>
      </w:r>
    </w:p>
    <w:p>
      <w:r>
        <w:t>Organizations are increasingly addressing AI risks, with the average number of mitigated risks doubling from 2 in 2022 to 4 in 2025. However, over half of organizations have experienced at least one negative consequence from AI.</w:t>
      </w:r>
    </w:p>
    <w:p>
      <w:r/>
      <w:r>
        <w:rPr>
          <w:b/>
        </w:rPr>
        <w:t>Key Data Points</w:t>
      </w:r>
      <w:r/>
    </w:p>
    <w:p>
      <w:pPr>
        <w:pStyle w:val="ListBullet"/>
        <w:spacing w:after="60"/>
        <w:ind w:left="720"/>
      </w:pPr>
      <w:r>
        <w:rPr>
          <w:color w:val="2D2D2D"/>
          <w:sz w:val="21"/>
        </w:rPr>
        <w:t>51% of respondents say their organizations have seen at least one negative consequence from AI</w:t>
      </w:r>
    </w:p>
    <w:p>
      <w:pPr>
        <w:pStyle w:val="ListBullet"/>
        <w:spacing w:after="60"/>
        <w:ind w:left="720"/>
      </w:pPr>
      <w:r>
        <w:rPr>
          <w:color w:val="2D2D2D"/>
          <w:sz w:val="21"/>
        </w:rPr>
        <w:t>30% report experiencing AI inaccuracy—the most common negative consequence</w:t>
      </w:r>
    </w:p>
    <w:p>
      <w:pPr>
        <w:pStyle w:val="ListBullet"/>
        <w:spacing w:after="60"/>
        <w:ind w:left="720"/>
      </w:pPr>
      <w:r>
        <w:rPr>
          <w:color w:val="2D2D2D"/>
          <w:sz w:val="21"/>
        </w:rPr>
        <w:t>Average number of AI risks being mitigated: 4 (up from 2 in 2022)</w:t>
      </w:r>
    </w:p>
    <w:p>
      <w:pPr>
        <w:pStyle w:val="ListBullet"/>
        <w:spacing w:after="60"/>
        <w:ind w:left="720"/>
      </w:pPr>
      <w:r>
        <w:rPr>
          <w:color w:val="2D2D2D"/>
          <w:sz w:val="21"/>
        </w:rPr>
        <w:t>High performers more likely to experience negative consequences but also more likely to mitigate them</w:t>
      </w:r>
    </w:p>
    <w:p>
      <w:pPr>
        <w:spacing w:before="120" w:after="120"/>
        <w:pBdr>
          <w:bottom w:val="single" w:sz="6" w:space="1" w:color="2E86AB"/>
        </w:pBdr>
      </w:pPr>
    </w:p>
    <w:p>
      <w:pPr>
        <w:pStyle w:val="Heading2"/>
      </w:pPr>
      <w:r>
        <w:t>4. Competitive Landscape</w:t>
      </w:r>
    </w:p>
    <w:p>
      <w:pPr>
        <w:pStyle w:val="Heading3"/>
      </w:pPr>
      <w:r>
        <w:t>Overview</w:t>
      </w:r>
    </w:p>
    <w:p>
      <w:r>
        <w:t>The AI market is characterized by a stark divide between widespread experimentation and limited scaled deployment. High-performing organizations (6% of respondents) achieve outsized results through transformative ambitions, workflow redesign, and strong leadership commitment. Technology, media/telecom, and healthcare lead in AI agent adoption, while larger companies significantly outperform smaller ones in scaling capabilities.</w:t>
      </w:r>
    </w:p>
    <w:p>
      <w:pPr>
        <w:pStyle w:val="Heading3"/>
      </w:pPr>
      <w:r>
        <w:t>Leader Characteristics</w:t>
      </w:r>
    </w:p>
    <w:p>
      <w:pPr>
        <w:pStyle w:val="ListBullet"/>
        <w:spacing w:after="60"/>
        <w:ind w:left="720"/>
      </w:pPr>
      <w:r>
        <w:rPr>
          <w:color w:val="2D2D2D"/>
          <w:sz w:val="21"/>
        </w:rPr>
        <w:t>Set growth and innovation objectives in addition to efficiency goals (high performers: 50% growth, 79% innovation vs. 80% efficiency for all)</w:t>
      </w:r>
    </w:p>
    <w:p>
      <w:pPr>
        <w:pStyle w:val="ListBullet"/>
        <w:spacing w:after="60"/>
        <w:ind w:left="720"/>
      </w:pPr>
      <w:r>
        <w:rPr>
          <w:color w:val="2D2D2D"/>
          <w:sz w:val="21"/>
        </w:rPr>
        <w:t>Fundamentally redesign workflows rather than layering AI onto existing processes (55% vs. 20%)</w:t>
      </w:r>
    </w:p>
    <w:p>
      <w:pPr>
        <w:pStyle w:val="ListBullet"/>
        <w:spacing w:after="60"/>
        <w:ind w:left="720"/>
      </w:pPr>
      <w:r>
        <w:rPr>
          <w:color w:val="2D2D2D"/>
          <w:sz w:val="21"/>
        </w:rPr>
        <w:t>Have senior leadership that demonstrates ownership and commitment to AI (high performers 3x more likely to strongly agree)</w:t>
      </w:r>
    </w:p>
    <w:p>
      <w:pPr>
        <w:pStyle w:val="ListBullet"/>
        <w:spacing w:after="60"/>
        <w:ind w:left="720"/>
      </w:pPr>
      <w:r>
        <w:rPr>
          <w:color w:val="2D2D2D"/>
          <w:sz w:val="21"/>
        </w:rPr>
        <w:t>Invest heavily in AI: 4.9x more likely to spend &gt;20% of digital budget on AI</w:t>
      </w:r>
    </w:p>
    <w:p>
      <w:pPr>
        <w:pStyle w:val="ListBullet"/>
        <w:spacing w:after="60"/>
        <w:ind w:left="720"/>
      </w:pPr>
      <w:r>
        <w:rPr>
          <w:color w:val="2D2D2D"/>
          <w:sz w:val="21"/>
        </w:rPr>
        <w:t>Implement comprehensive management practices across strategy, talent, operating model, technology, data, and adoption/scaling</w:t>
      </w:r>
    </w:p>
    <w:p>
      <w:pPr>
        <w:pStyle w:val="Heading3"/>
      </w:pPr>
      <w:r>
        <w:t>Key Differentiators</w:t>
      </w:r>
    </w:p>
    <w:p>
      <w:pPr>
        <w:pStyle w:val="ListBullet"/>
        <w:spacing w:after="60"/>
        <w:ind w:left="720"/>
      </w:pPr>
      <w:r>
        <w:rPr>
          <w:color w:val="2D2D2D"/>
          <w:sz w:val="21"/>
        </w:rPr>
        <w:t>Enterprise-wide scaling capability (33% of all orgs have scaled; high performers at 75%)</w:t>
      </w:r>
    </w:p>
    <w:p>
      <w:pPr>
        <w:pStyle w:val="ListBullet"/>
        <w:spacing w:after="60"/>
        <w:ind w:left="720"/>
      </w:pPr>
      <w:r>
        <w:rPr>
          <w:color w:val="2D2D2D"/>
          <w:sz w:val="21"/>
        </w:rPr>
        <w:t>Agentic AI deployment (high performers 3x more likely to be scaling agents across functions)</w:t>
      </w:r>
    </w:p>
    <w:p>
      <w:pPr>
        <w:pStyle w:val="ListBullet"/>
        <w:spacing w:after="60"/>
        <w:ind w:left="720"/>
      </w:pPr>
      <w:r>
        <w:rPr>
          <w:color w:val="2D2D2D"/>
          <w:sz w:val="21"/>
        </w:rPr>
        <w:t>Workflow transformation vs. incremental automation</w:t>
      </w:r>
    </w:p>
    <w:p>
      <w:pPr>
        <w:pStyle w:val="ListBullet"/>
        <w:spacing w:after="60"/>
        <w:ind w:left="720"/>
      </w:pPr>
      <w:r>
        <w:rPr>
          <w:color w:val="2D2D2D"/>
          <w:sz w:val="21"/>
        </w:rPr>
        <w:t>Human-in-the-loop processes for AI accuracy assurance</w:t>
      </w:r>
    </w:p>
    <w:p>
      <w:pPr>
        <w:pStyle w:val="ListBullet"/>
        <w:spacing w:after="60"/>
        <w:ind w:left="720"/>
      </w:pPr>
      <w:r>
        <w:rPr>
          <w:color w:val="2D2D2D"/>
          <w:sz w:val="21"/>
        </w:rPr>
        <w:t>Agile product delivery and iterative solution development</w:t>
      </w:r>
    </w:p>
    <w:p>
      <w:pPr>
        <w:pStyle w:val="Heading3"/>
      </w:pPr>
      <w:r>
        <w:t>Notable Players</w:t>
      </w:r>
    </w:p>
    <w:p>
      <w:pPr>
        <w:pStyle w:val="ListBullet"/>
        <w:spacing w:after="60"/>
        <w:ind w:left="720"/>
      </w:pPr>
      <w:r>
        <w:rPr>
          <w:color w:val="2D2D2D"/>
          <w:sz w:val="21"/>
        </w:rPr>
        <w:t>Technology sector leads in AI adoption (highest reported use across industries)</w:t>
      </w:r>
    </w:p>
    <w:p>
      <w:pPr>
        <w:pStyle w:val="ListBullet"/>
        <w:spacing w:after="60"/>
        <w:ind w:left="720"/>
      </w:pPr>
      <w:r>
        <w:rPr>
          <w:color w:val="2D2D2D"/>
          <w:sz w:val="21"/>
        </w:rPr>
        <w:t>Media and telecommunications and insurance now match technology in AI usage</w:t>
      </w:r>
    </w:p>
    <w:p>
      <w:pPr>
        <w:pStyle w:val="ListBullet"/>
        <w:spacing w:after="60"/>
        <w:ind w:left="720"/>
      </w:pPr>
      <w:r>
        <w:rPr>
          <w:color w:val="2D2D2D"/>
          <w:sz w:val="21"/>
        </w:rPr>
        <w:t>Healthcare shows high AI agent adoption alongside technology</w:t>
      </w:r>
    </w:p>
    <w:p>
      <w:pPr>
        <w:pStyle w:val="ListBullet"/>
        <w:spacing w:after="60"/>
        <w:ind w:left="720"/>
      </w:pPr>
      <w:r>
        <w:rPr>
          <w:color w:val="2D2D2D"/>
          <w:sz w:val="21"/>
        </w:rPr>
        <w:t>Professional services and financial institutions show moderate adoption</w:t>
      </w:r>
    </w:p>
    <w:p>
      <w:pPr>
        <w:pStyle w:val="ListBullet"/>
        <w:spacing w:after="60"/>
        <w:ind w:left="720"/>
      </w:pPr>
      <w:r>
        <w:rPr>
          <w:color w:val="2D2D2D"/>
          <w:sz w:val="21"/>
        </w:rPr>
        <w:t>Manufacturing and supply chain lag in AI agent deployment</w:t>
      </w:r>
    </w:p>
    <w:p>
      <w:pPr>
        <w:spacing w:before="120" w:after="120"/>
        <w:pBdr>
          <w:bottom w:val="single" w:sz="6" w:space="1" w:color="2E86AB"/>
        </w:pBdr>
      </w:pPr>
    </w:p>
    <w:p>
      <w:pPr>
        <w:pStyle w:val="Heading2"/>
      </w:pPr>
      <w:r>
        <w:t>5. Investment Opportunities</w:t>
      </w:r>
    </w:p>
    <w:p>
      <w:pPr>
        <w:pStyle w:val="Heading3"/>
      </w:pPr>
      <w:r>
        <w:t>1. AI Infrastructure and Platform Providers</w:t>
      </w:r>
    </w:p>
    <w:p>
      <w:r>
        <w:t>With 65% of organizations still in experimentation/piloting phases, demand for infrastructure enabling scaling will surge. Companies providing MLOps, data products, and enterprise AI platforms are well-positioned.</w:t>
      </w:r>
    </w:p>
    <w:p>
      <w:pPr>
        <w:pStyle w:val="ListBullet"/>
        <w:spacing w:after="60"/>
        <w:ind w:left="720"/>
      </w:pPr>
      <w:r>
        <w:rPr>
          <w:color w:val="2D2D2D"/>
          <w:sz w:val="21"/>
        </w:rPr>
      </w:r>
      <w:r>
        <w:rPr>
          <w:b/>
          <w:color w:val="1A3C6E"/>
          <w:sz w:val="21"/>
        </w:rPr>
        <w:t>Market Potential:</w:t>
      </w:r>
      <w:r>
        <w:rPr>
          <w:color w:val="2D2D2D"/>
          <w:sz w:val="21"/>
        </w:rPr>
        <w:t xml:space="preserve"> Organizations with &gt;$1B revenue 2x more likely to hire for data readiness and MLOps roles</w:t>
      </w:r>
    </w:p>
    <w:p>
      <w:pPr>
        <w:pStyle w:val="ListBullet"/>
        <w:spacing w:after="60"/>
        <w:ind w:left="720"/>
      </w:pPr>
      <w:r>
        <w:rPr>
          <w:color w:val="2D2D2D"/>
          <w:sz w:val="21"/>
        </w:rPr>
      </w:r>
      <w:r>
        <w:rPr>
          <w:b/>
          <w:color w:val="1A3C6E"/>
          <w:sz w:val="21"/>
        </w:rPr>
        <w:t>Target Segments:</w:t>
      </w:r>
      <w:r>
        <w:rPr>
          <w:color w:val="2D2D2D"/>
          <w:sz w:val="21"/>
        </w:rPr>
        <w:t xml:space="preserve"> Enterprise AI platform providers, MLOps and AI lifecycle management, Data infrastructure and data products, AI governance and compliance tools</w:t>
      </w:r>
    </w:p>
    <w:p>
      <w:pPr>
        <w:pStyle w:val="Heading3"/>
      </w:pPr>
      <w:r>
        <w:t>2. AI Agent Development and Deployment</w:t>
      </w:r>
    </w:p>
    <w:p>
      <w:r>
        <w:t>Only 23% are scaling agents, but 62% are experimenting—indicating significant near-term scaling potential. Agents in IT and knowledge management are most mature, while manufacturing and supply chain represent greenfield opportunities.</w:t>
      </w:r>
    </w:p>
    <w:p>
      <w:pPr>
        <w:pStyle w:val="ListBullet"/>
        <w:spacing w:after="60"/>
        <w:ind w:left="720"/>
      </w:pPr>
      <w:r>
        <w:rPr>
          <w:color w:val="2D2D2D"/>
          <w:sz w:val="21"/>
        </w:rPr>
      </w:r>
      <w:r>
        <w:rPr>
          <w:b/>
          <w:color w:val="1A3C6E"/>
          <w:sz w:val="21"/>
        </w:rPr>
        <w:t>Market Potential:</w:t>
      </w:r>
      <w:r>
        <w:rPr>
          <w:color w:val="2D2D2D"/>
          <w:sz w:val="21"/>
        </w:rPr>
        <w:t xml:space="preserve"> No more than 10% scaling agents in any individual function today; massive expansion runway</w:t>
      </w:r>
    </w:p>
    <w:p>
      <w:pPr>
        <w:pStyle w:val="ListBullet"/>
        <w:spacing w:after="60"/>
        <w:ind w:left="720"/>
      </w:pPr>
      <w:r>
        <w:rPr>
          <w:color w:val="2D2D2D"/>
          <w:sz w:val="21"/>
        </w:rPr>
      </w:r>
      <w:r>
        <w:rPr>
          <w:b/>
          <w:color w:val="1A3C6E"/>
          <w:sz w:val="21"/>
        </w:rPr>
        <w:t>Target Segments:</w:t>
      </w:r>
      <w:r>
        <w:rPr>
          <w:color w:val="2D2D2D"/>
          <w:sz w:val="21"/>
        </w:rPr>
        <w:t xml:space="preserve"> Agentic AI platforms, Workflow automation agents, Industry-specific agents (IT service desk, research, manufacturing)</w:t>
      </w:r>
    </w:p>
    <w:p>
      <w:pPr>
        <w:pStyle w:val="Heading3"/>
      </w:pPr>
      <w:r>
        <w:t>3. AI Transformation Consulting and Implementation</w:t>
      </w:r>
    </w:p>
    <w:p>
      <w:r>
        <w:t>High performers demonstrate that transformation requires workflow redesign, change management, and integrated capabilities across strategy/talent/technology/data—creating demand for implementation partners.</w:t>
      </w:r>
    </w:p>
    <w:p>
      <w:pPr>
        <w:pStyle w:val="ListBullet"/>
        <w:spacing w:after="60"/>
        <w:ind w:left="720"/>
      </w:pPr>
      <w:r>
        <w:rPr>
          <w:color w:val="2D2D2D"/>
          <w:sz w:val="21"/>
        </w:rPr>
      </w:r>
      <w:r>
        <w:rPr>
          <w:b/>
          <w:color w:val="1A3C6E"/>
          <w:sz w:val="21"/>
        </w:rPr>
        <w:t>Market Potential:</w:t>
      </w:r>
      <w:r>
        <w:rPr>
          <w:color w:val="2D2D2D"/>
          <w:sz w:val="21"/>
        </w:rPr>
        <w:t xml:space="preserve"> High performers invest 4.9x more in AI; average digital budgets for AI increasing</w:t>
      </w:r>
    </w:p>
    <w:p>
      <w:pPr>
        <w:pStyle w:val="ListBullet"/>
        <w:spacing w:after="60"/>
        <w:ind w:left="720"/>
      </w:pPr>
      <w:r>
        <w:rPr>
          <w:color w:val="2D2D2D"/>
          <w:sz w:val="21"/>
        </w:rPr>
      </w:r>
      <w:r>
        <w:rPr>
          <w:b/>
          <w:color w:val="1A3C6E"/>
          <w:sz w:val="21"/>
        </w:rPr>
        <w:t>Target Segments:</w:t>
      </w:r>
      <w:r>
        <w:rPr>
          <w:color w:val="2D2D2D"/>
          <w:sz w:val="21"/>
        </w:rPr>
        <w:t xml:space="preserve"> AI transformation consultancies, Workflow redesign specialists, AI talent and upskilling providers</w:t>
      </w:r>
    </w:p>
    <w:p>
      <w:pPr>
        <w:pStyle w:val="Heading3"/>
      </w:pPr>
      <w:r>
        <w:t>4. AI Governance and Risk Management</w:t>
      </w:r>
    </w:p>
    <w:p>
      <w:r>
        <w:t>51% of organizations experienced negative AI consequences; risk mitigation efforts doubled since 2022. Demand for governance frameworks, accuracy assurance, and compliance solutions is accelerating.</w:t>
      </w:r>
    </w:p>
    <w:p>
      <w:pPr>
        <w:pStyle w:val="ListBullet"/>
        <w:spacing w:after="60"/>
        <w:ind w:left="720"/>
      </w:pPr>
      <w:r>
        <w:rPr>
          <w:color w:val="2D2D2D"/>
          <w:sz w:val="21"/>
        </w:rPr>
      </w:r>
      <w:r>
        <w:rPr>
          <w:b/>
          <w:color w:val="1A3C6E"/>
          <w:sz w:val="21"/>
        </w:rPr>
        <w:t>Market Potential:</w:t>
      </w:r>
      <w:r>
        <w:rPr>
          <w:color w:val="2D2D2D"/>
          <w:sz w:val="21"/>
        </w:rPr>
        <w:t xml:space="preserve"> Average risks mitigated per organization increased from 2 (2022) to 4 (2025)</w:t>
      </w:r>
    </w:p>
    <w:p>
      <w:pPr>
        <w:pStyle w:val="ListBullet"/>
        <w:spacing w:after="60"/>
        <w:ind w:left="720"/>
      </w:pPr>
      <w:r>
        <w:rPr>
          <w:color w:val="2D2D2D"/>
          <w:sz w:val="21"/>
        </w:rPr>
      </w:r>
      <w:r>
        <w:rPr>
          <w:b/>
          <w:color w:val="1A3C6E"/>
          <w:sz w:val="21"/>
        </w:rPr>
        <w:t>Target Segments:</w:t>
      </w:r>
      <w:r>
        <w:rPr>
          <w:color w:val="2D2D2D"/>
          <w:sz w:val="21"/>
        </w:rPr>
        <w:t xml:space="preserve"> AI accuracy and inaccuracy detection, AI governance platforms, Compliance and regulatory solutions, AI ethics and fairness tools</w:t>
      </w:r>
    </w:p>
    <w:p>
      <w:pPr>
        <w:pStyle w:val="Heading3"/>
      </w:pPr>
      <w:r>
        <w:t>5. Vertical AI Solutions for Underpenetrated Sectors</w:t>
      </w:r>
    </w:p>
    <w:p>
      <w:r>
        <w:t>Manufacturing, supply chain, and construction show lowest AI agent adoption (&lt;10% scaling). These sectors represent massive untapped opportunities for industry-specific solutions.</w:t>
      </w:r>
    </w:p>
    <w:p>
      <w:pPr>
        <w:pStyle w:val="ListBullet"/>
        <w:spacing w:after="60"/>
        <w:ind w:left="720"/>
      </w:pPr>
      <w:r>
        <w:rPr>
          <w:color w:val="2D2D2D"/>
          <w:sz w:val="21"/>
        </w:rPr>
      </w:r>
      <w:r>
        <w:rPr>
          <w:b/>
          <w:color w:val="1A3C6E"/>
          <w:sz w:val="21"/>
        </w:rPr>
        <w:t>Market Potential:</w:t>
      </w:r>
      <w:r>
        <w:rPr>
          <w:color w:val="2D2D2D"/>
          <w:sz w:val="21"/>
        </w:rPr>
        <w:t xml:space="preserve"> Manufacturing and supply chain: highest cost reduction potential but lowest current agent adoption</w:t>
      </w:r>
    </w:p>
    <w:p>
      <w:pPr>
        <w:pStyle w:val="ListBullet"/>
        <w:spacing w:after="60"/>
        <w:ind w:left="720"/>
      </w:pPr>
      <w:r>
        <w:rPr>
          <w:color w:val="2D2D2D"/>
          <w:sz w:val="21"/>
        </w:rPr>
      </w:r>
      <w:r>
        <w:rPr>
          <w:b/>
          <w:color w:val="1A3C6E"/>
          <w:sz w:val="21"/>
        </w:rPr>
        <w:t>Target Segments:</w:t>
      </w:r>
      <w:r>
        <w:rPr>
          <w:color w:val="2D2D2D"/>
          <w:sz w:val="21"/>
        </w:rPr>
        <w:t xml:space="preserve"> Manufacturing AI, Supply chain optimization, Construction and engineering AI, Industrial AI agents</w:t>
      </w:r>
    </w:p>
    <w:p>
      <w:pPr>
        <w:spacing w:before="120" w:after="120"/>
        <w:pBdr>
          <w:bottom w:val="single" w:sz="6" w:space="1" w:color="2E86AB"/>
        </w:pBdr>
      </w:pPr>
    </w:p>
    <w:p>
      <w:pPr>
        <w:pStyle w:val="Heading2"/>
      </w:pPr>
      <w:r>
        <w:t>6. Risk Factors</w:t>
      </w:r>
    </w:p>
    <w:tbl>
      <w:tblPr>
        <w:tblStyle w:val="TableGrid"/>
        <w:tblW w:type="auto" w:w="0"/>
        <w:tblLook w:firstColumn="1" w:firstRow="1" w:lastColumn="0" w:lastRow="0" w:noHBand="0" w:noVBand="1" w:val="04A0"/>
      </w:tblPr>
      <w:tblGrid>
        <w:gridCol w:w="3135"/>
        <w:gridCol w:w="3135"/>
        <w:gridCol w:w="3135"/>
      </w:tblGrid>
      <w:tr>
        <w:tc>
          <w:tcPr>
            <w:tcW w:type="dxa" w:w="3135"/>
            <w:shd w:fill="1A3C6E" w:val="clear"/>
          </w:tcPr>
          <w:p>
            <w:r/>
            <w:r>
              <w:rPr>
                <w:rFonts w:ascii="Calibri" w:hAnsi="Calibri"/>
                <w:b/>
                <w:color w:val="FFFFFF"/>
                <w:sz w:val="19"/>
              </w:rPr>
              <w:t>Risk</w:t>
            </w:r>
          </w:p>
        </w:tc>
        <w:tc>
          <w:tcPr>
            <w:tcW w:type="dxa" w:w="3135"/>
            <w:shd w:fill="1A3C6E" w:val="clear"/>
          </w:tcPr>
          <w:p>
            <w:r/>
            <w:r>
              <w:rPr>
                <w:rFonts w:ascii="Calibri" w:hAnsi="Calibri"/>
                <w:b/>
                <w:color w:val="FFFFFF"/>
                <w:sz w:val="19"/>
              </w:rPr>
              <w:t>Severity</w:t>
            </w:r>
          </w:p>
        </w:tc>
        <w:tc>
          <w:tcPr>
            <w:tcW w:type="dxa" w:w="3135"/>
            <w:shd w:fill="1A3C6E" w:val="clear"/>
          </w:tcPr>
          <w:p>
            <w:r/>
            <w:r>
              <w:rPr>
                <w:rFonts w:ascii="Calibri" w:hAnsi="Calibri"/>
                <w:b/>
                <w:color w:val="FFFFFF"/>
                <w:sz w:val="19"/>
              </w:rPr>
              <w:t>Key Issue</w:t>
            </w:r>
          </w:p>
        </w:tc>
      </w:tr>
      <w:tr>
        <w:tc>
          <w:tcPr>
            <w:tcW w:type="dxa" w:w="3135"/>
          </w:tcPr>
          <w:p>
            <w:r/>
            <w:r>
              <w:rPr>
                <w:rFonts w:ascii="Calibri" w:hAnsi="Calibri"/>
                <w:color w:val="2D2D2D"/>
                <w:sz w:val="19"/>
              </w:rPr>
              <w:t>AI Implementation Value Gap</w:t>
            </w:r>
          </w:p>
        </w:tc>
        <w:tc>
          <w:tcPr>
            <w:tcW w:type="dxa" w:w="3135"/>
          </w:tcPr>
          <w:p>
            <w:r/>
            <w:r>
              <w:rPr>
                <w:rFonts w:ascii="Calibri" w:hAnsi="Calibri"/>
                <w:color w:val="2D2D2D"/>
                <w:sz w:val="19"/>
              </w:rPr>
              <w:t>High</w:t>
            </w:r>
          </w:p>
        </w:tc>
        <w:tc>
          <w:tcPr>
            <w:tcW w:type="dxa" w:w="3135"/>
          </w:tcPr>
          <w:p>
            <w:r/>
            <w:r>
              <w:rPr>
                <w:rFonts w:ascii="Calibri" w:hAnsi="Calibri"/>
                <w:color w:val="2D2D2D"/>
                <w:sz w:val="19"/>
              </w:rPr>
              <w:t>Widespread adoption (88%) has not translated to enterprise value—only 39% report EBIT impact. This suggests many AI i...</w:t>
            </w:r>
          </w:p>
        </w:tc>
      </w:tr>
      <w:tr>
        <w:tc>
          <w:tcPr>
            <w:tcW w:type="dxa" w:w="3135"/>
            <w:shd w:fill="EBF5FB" w:val="clear"/>
          </w:tcPr>
          <w:p>
            <w:r/>
            <w:r>
              <w:rPr>
                <w:rFonts w:ascii="Calibri" w:hAnsi="Calibri"/>
                <w:color w:val="2D2D2D"/>
                <w:sz w:val="19"/>
              </w:rPr>
              <w:t>Workforce Displacement and Talent Shortage</w:t>
            </w:r>
          </w:p>
        </w:tc>
        <w:tc>
          <w:tcPr>
            <w:tcW w:type="dxa" w:w="3135"/>
            <w:shd w:fill="EBF5FB" w:val="clear"/>
          </w:tcPr>
          <w:p>
            <w:r/>
            <w:r>
              <w:rPr>
                <w:rFonts w:ascii="Calibri" w:hAnsi="Calibri"/>
                <w:color w:val="2D2D2D"/>
                <w:sz w:val="19"/>
              </w:rPr>
              <w:t>High</w:t>
            </w:r>
          </w:p>
        </w:tc>
        <w:tc>
          <w:tcPr>
            <w:tcW w:type="dxa" w:w="3135"/>
            <w:shd w:fill="EBF5FB" w:val="clear"/>
          </w:tcPr>
          <w:p>
            <w:r/>
            <w:r>
              <w:rPr>
                <w:rFonts w:ascii="Calibri" w:hAnsi="Calibri"/>
                <w:color w:val="2D2D2D"/>
                <w:sz w:val="19"/>
              </w:rPr>
              <w:t>32% of respondents expect workforce reductions &gt;3% in the next year, while simultaneously facing critical talent gaps...</w:t>
            </w:r>
          </w:p>
        </w:tc>
      </w:tr>
      <w:tr>
        <w:tc>
          <w:tcPr>
            <w:tcW w:type="dxa" w:w="3135"/>
          </w:tcPr>
          <w:p>
            <w:r/>
            <w:r>
              <w:rPr>
                <w:rFonts w:ascii="Calibri" w:hAnsi="Calibri"/>
                <w:color w:val="2D2D2D"/>
                <w:sz w:val="19"/>
              </w:rPr>
              <w:t>AI Accuracy and Reliability Risks</w:t>
            </w:r>
          </w:p>
        </w:tc>
        <w:tc>
          <w:tcPr>
            <w:tcW w:type="dxa" w:w="3135"/>
          </w:tcPr>
          <w:p>
            <w:r/>
            <w:r>
              <w:rPr>
                <w:rFonts w:ascii="Calibri" w:hAnsi="Calibri"/>
                <w:color w:val="2D2D2D"/>
                <w:sz w:val="19"/>
              </w:rPr>
              <w:t>Medium</w:t>
            </w:r>
          </w:p>
        </w:tc>
        <w:tc>
          <w:tcPr>
            <w:tcW w:type="dxa" w:w="3135"/>
          </w:tcPr>
          <w:p>
            <w:r/>
            <w:r>
              <w:rPr>
                <w:rFonts w:ascii="Calibri" w:hAnsi="Calibri"/>
                <w:color w:val="2D2D2D"/>
                <w:sz w:val="19"/>
              </w:rPr>
              <w:t>30% of organizations experienced AI inaccuracy consequences—the most common negative outcome. This undermines trust a...</w:t>
            </w:r>
          </w:p>
        </w:tc>
      </w:tr>
      <w:tr>
        <w:tc>
          <w:tcPr>
            <w:tcW w:type="dxa" w:w="3135"/>
            <w:shd w:fill="EBF5FB" w:val="clear"/>
          </w:tcPr>
          <w:p>
            <w:r/>
            <w:r>
              <w:rPr>
                <w:rFonts w:ascii="Calibri" w:hAnsi="Calibri"/>
                <w:color w:val="2D2D2D"/>
                <w:sz w:val="19"/>
              </w:rPr>
              <w:t>Scaling Execution Challenge</w:t>
            </w:r>
          </w:p>
        </w:tc>
        <w:tc>
          <w:tcPr>
            <w:tcW w:type="dxa" w:w="3135"/>
            <w:shd w:fill="EBF5FB" w:val="clear"/>
          </w:tcPr>
          <w:p>
            <w:r/>
            <w:r>
              <w:rPr>
                <w:rFonts w:ascii="Calibri" w:hAnsi="Calibri"/>
                <w:color w:val="2D2D2D"/>
                <w:sz w:val="19"/>
              </w:rPr>
              <w:t>Medium</w:t>
            </w:r>
          </w:p>
        </w:tc>
        <w:tc>
          <w:tcPr>
            <w:tcW w:type="dxa" w:w="3135"/>
            <w:shd w:fill="EBF5FB" w:val="clear"/>
          </w:tcPr>
          <w:p>
            <w:r/>
            <w:r>
              <w:rPr>
                <w:rFonts w:ascii="Calibri" w:hAnsi="Calibri"/>
                <w:color w:val="2D2D2D"/>
                <w:sz w:val="19"/>
              </w:rPr>
              <w:t>Larger companies significantly outpace smaller ones in AI scaling (50% of $5B+ vs. 29% of &lt;$100M). Smaller companies ...</w:t>
            </w:r>
          </w:p>
        </w:tc>
      </w:tr>
      <w:tr>
        <w:tc>
          <w:tcPr>
            <w:tcW w:type="dxa" w:w="3135"/>
          </w:tcPr>
          <w:p>
            <w:r/>
            <w:r>
              <w:rPr>
                <w:rFonts w:ascii="Calibri" w:hAnsi="Calibri"/>
                <w:color w:val="2D2D2D"/>
                <w:sz w:val="19"/>
              </w:rPr>
              <w:t>Regulatory and Compliance Uncertainty</w:t>
            </w:r>
          </w:p>
        </w:tc>
        <w:tc>
          <w:tcPr>
            <w:tcW w:type="dxa" w:w="3135"/>
          </w:tcPr>
          <w:p>
            <w:r/>
            <w:r>
              <w:rPr>
                <w:rFonts w:ascii="Calibri" w:hAnsi="Calibri"/>
                <w:color w:val="2D2D2D"/>
                <w:sz w:val="19"/>
              </w:rPr>
              <w:t>Medium</w:t>
            </w:r>
          </w:p>
        </w:tc>
        <w:tc>
          <w:tcPr>
            <w:tcW w:type="dxa" w:w="3135"/>
          </w:tcPr>
          <w:p>
            <w:r/>
            <w:r>
              <w:rPr>
                <w:rFonts w:ascii="Calibri" w:hAnsi="Calibri"/>
                <w:color w:val="2D2D2D"/>
                <w:sz w:val="19"/>
              </w:rPr>
              <w:t>While regulatory compliance risk mitigation has increased, it remains among the top risks. High performers more likel...</w:t>
            </w:r>
          </w:p>
        </w:tc>
      </w:tr>
    </w:tbl>
    <w:p/>
    <w:p>
      <w:pPr>
        <w:spacing w:before="120" w:after="120"/>
        <w:pBdr>
          <w:bottom w:val="single" w:sz="6" w:space="1" w:color="2E86AB"/>
        </w:pBdr>
      </w:pPr>
    </w:p>
    <w:p>
      <w:pPr>
        <w:pStyle w:val="Heading2"/>
      </w:pPr>
      <w:r>
        <w:t>7. Signal Strength</w:t>
      </w:r>
    </w:p>
    <w:p>
      <w:r>
        <w:rPr>
          <w:b/>
          <w:color w:val="5A5A5A"/>
          <w:sz w:val="22"/>
        </w:rPr>
        <w:t xml:space="preserve">Rating: </w:t>
      </w:r>
      <w:r>
        <w:rPr>
          <w:color w:val="2D2D2D"/>
          <w:sz w:val="22"/>
        </w:rPr>
        <w:t>9/10</w:t>
      </w:r>
    </w:p>
    <w:p>
      <w:r>
        <w:rPr>
          <w:b/>
          <w:color w:val="5A5A5A"/>
          <w:sz w:val="22"/>
        </w:rPr>
        <w:t xml:space="preserve">Justification: </w:t>
      </w:r>
      <w:r>
        <w:rPr>
          <w:color w:val="2D2D2D"/>
          <w:sz w:val="22"/>
        </w:rPr>
        <w:t>This McKinsey survey represents the most comprehensive and current assessment of enterprise AI adoption, with 1,993 respondents across 105 nations, conducted June-July 2025. Key strengths include: (1) Large, global, multi-industry sample providing statistically robust insights; (2) Longitudinal data enabling year-over-year trend analysis since 2017; (3) Specific metrics on scaling phases, agent adoption, EBIT impact, and workforce effects; (4) Clear identification of high performer characteristics providing actionable differentiation signals; (5) Recent publication date ensuring maximum relevance. The data reveals a clear investment thesis: while adoption is nearly universal, value capture remains concentrated among a small elite (6%), creating significant opportunities for investors to identify companies with the capabilities to scale beyond pilots. The agentic AI trend (62% experimenting, 23% scaling) represents a particularly timely signal given the early stage of this technology wave. The risk signals (51% experiencing negative consequences, 32% expecting workforce reductions) are also valuable for assessing downside scenarios.</w:t>
      </w:r>
    </w:p>
    <w:p>
      <w:pPr>
        <w:spacing w:before="120" w:after="120"/>
        <w:pBdr>
          <w:bottom w:val="single" w:sz="6" w:space="1" w:color="2E86AB"/>
        </w:pBdr>
      </w:pPr>
    </w:p>
    <w:p>
      <w:pPr>
        <w:pStyle w:val="Heading1"/>
      </w:pPr>
      <w:r>
        <w:t>Pitch Brief</w:t>
      </w:r>
    </w:p>
    <w:p>
      <w:r>
        <w:t>&lt;think&gt;The user wants me to create a structured VC-style investment pitch brief based on the provided investment signals about the State of AI in 2025. Let me organize this into the 10 required sections with proper formatting, bullet points, bold metrics, and a table for risk factors.</w:t>
      </w:r>
    </w:p>
    <w:p>
      <w:r>
        <w:t>Let me extract the key information:</w:t>
      </w:r>
    </w:p>
    <w:p>
      <w:r>
        <w:rPr>
          <w:b/>
          <w:color w:val="5A5A5A"/>
          <w:sz w:val="22"/>
        </w:rPr>
        <w:t xml:space="preserve">Executive Summary: </w:t>
      </w:r>
      <w:r>
        <w:rPr>
          <w:color w:val="2D2D2D"/>
          <w:sz w:val="22"/>
        </w:rPr>
      </w:r>
    </w:p>
    <w:p>
      <w:pPr>
        <w:pStyle w:val="ListBullet"/>
        <w:spacing w:after="60"/>
        <w:ind w:left="720"/>
      </w:pPr>
      <w:r>
        <w:rPr>
          <w:color w:val="2D2D2D"/>
          <w:sz w:val="21"/>
        </w:rPr>
        <w:t>Thesis: AI market at critical inflection point - 88% adoption but only 39% EBIT impact, 6% high performers</w:t>
      </w:r>
    </w:p>
    <w:p>
      <w:pPr>
        <w:pStyle w:val="ListBullet"/>
        <w:spacing w:after="60"/>
        <w:ind w:left="720"/>
      </w:pPr>
      <w:r>
        <w:rPr>
          <w:color w:val="2D2D2D"/>
          <w:sz w:val="21"/>
        </w:rPr>
        <w:t>Key drivers: scaling gap, AI agents as differentiator, innovation vs financial impact gap, high performer differentiation</w:t>
      </w:r>
    </w:p>
    <w:p>
      <w:r>
        <w:rPr>
          <w:b/>
          <w:color w:val="5A5A5A"/>
          <w:sz w:val="22"/>
        </w:rPr>
        <w:t xml:space="preserve">Market Opportunity: </w:t>
      </w:r>
      <w:r>
        <w:rPr>
          <w:color w:val="2D2D2D"/>
          <w:sz w:val="22"/>
        </w:rPr>
      </w:r>
    </w:p>
    <w:p>
      <w:pPr>
        <w:pStyle w:val="ListBullet"/>
        <w:spacing w:after="60"/>
        <w:ind w:left="720"/>
      </w:pPr>
      <w:r>
        <w:rPr>
          <w:color w:val="2D2D2D"/>
          <w:sz w:val="21"/>
        </w:rPr>
        <w:t>88% organizations using AI (up from 78% YoY)</w:t>
      </w:r>
    </w:p>
    <w:p>
      <w:pPr>
        <w:pStyle w:val="ListBullet"/>
        <w:spacing w:after="60"/>
        <w:ind w:left="720"/>
      </w:pPr>
      <w:r>
        <w:rPr>
          <w:color w:val="2D2D2D"/>
          <w:sz w:val="21"/>
        </w:rPr>
        <w:t>~65% have NOT begun scaling enterprise-wide</w:t>
      </w:r>
    </w:p>
    <w:p>
      <w:pPr>
        <w:pStyle w:val="ListBullet"/>
        <w:spacing w:after="60"/>
        <w:ind w:left="720"/>
      </w:pPr>
      <w:r>
        <w:rPr>
          <w:color w:val="2D2D2D"/>
          <w:sz w:val="21"/>
        </w:rPr>
        <w:t>23% scaling AI agents</w:t>
      </w:r>
    </w:p>
    <w:p>
      <w:pPr>
        <w:pStyle w:val="ListBullet"/>
        <w:spacing w:after="60"/>
        <w:ind w:left="720"/>
      </w:pPr>
      <w:r>
        <w:rPr>
          <w:color w:val="2D2D2D"/>
          <w:sz w:val="21"/>
        </w:rPr>
        <w:t>32% expect workforce reduction</w:t>
      </w:r>
    </w:p>
    <w:p>
      <w:pPr>
        <w:pStyle w:val="ListBullet"/>
        <w:spacing w:after="60"/>
        <w:ind w:left="720"/>
      </w:pPr>
      <w:r>
        <w:rPr>
          <w:color w:val="2D2D2D"/>
          <w:sz w:val="21"/>
        </w:rPr>
        <w:t>6% are high performers</w:t>
      </w:r>
    </w:p>
    <w:p>
      <w:r>
        <w:rPr>
          <w:b/>
          <w:color w:val="5A5A5A"/>
          <w:sz w:val="22"/>
        </w:rPr>
        <w:t xml:space="preserve">Key Trends: </w:t>
      </w:r>
      <w:r>
        <w:rPr>
          <w:color w:val="2D2D2D"/>
          <w:sz w:val="22"/>
        </w:rPr>
      </w:r>
    </w:p>
    <w:p>
      <w:pPr>
        <w:pStyle w:val="ListNumber"/>
      </w:pPr>
      <w:r>
        <w:t>Widespread adoption with shallow deployment</w:t>
      </w:r>
    </w:p>
    <w:p>
      <w:pPr>
        <w:pStyle w:val="ListNumber"/>
      </w:pPr>
      <w:r>
        <w:t>AI agents gaining traction but not scaled</w:t>
      </w:r>
    </w:p>
    <w:p>
      <w:pPr>
        <w:pStyle w:val="ListNumber"/>
      </w:pPr>
      <w:r>
        <w:t>Innovation impact exceeds financial impact</w:t>
      </w:r>
    </w:p>
    <w:p>
      <w:pPr>
        <w:pStyle w:val="ListNumber"/>
      </w:pPr>
      <w:r>
        <w:t>High performers pursue transformation</w:t>
      </w:r>
    </w:p>
    <w:p>
      <w:pPr>
        <w:pStyle w:val="ListNumber"/>
      </w:pPr>
      <w:r>
        <w:t>Risk mitigation improving but consequences remain common</w:t>
      </w:r>
    </w:p>
    <w:p>
      <w:r>
        <w:rPr>
          <w:b/>
          <w:color w:val="5A5A5A"/>
          <w:sz w:val="22"/>
        </w:rPr>
        <w:t xml:space="preserve">Competitive Landscape: </w:t>
      </w:r>
      <w:r>
        <w:rPr>
          <w:color w:val="2D2D2D"/>
          <w:sz w:val="22"/>
        </w:rPr>
      </w:r>
    </w:p>
    <w:p>
      <w:pPr>
        <w:pStyle w:val="ListBullet"/>
        <w:spacing w:after="60"/>
        <w:ind w:left="720"/>
      </w:pPr>
      <w:r>
        <w:rPr>
          <w:color w:val="2D2D2D"/>
          <w:sz w:val="21"/>
        </w:rPr>
        <w:t>6% high performers achieve outsized results</w:t>
      </w:r>
    </w:p>
    <w:p>
      <w:pPr>
        <w:pStyle w:val="ListBullet"/>
        <w:spacing w:after="60"/>
        <w:ind w:left="720"/>
      </w:pPr>
      <w:r>
        <w:rPr>
          <w:color w:val="2D2D2D"/>
          <w:sz w:val="21"/>
        </w:rPr>
        <w:t>Leaders set growth/innovation objectives, redesign workflows, have senior leadership commitment</w:t>
      </w:r>
    </w:p>
    <w:p>
      <w:pPr>
        <w:pStyle w:val="ListBullet"/>
        <w:spacing w:after="60"/>
        <w:ind w:left="720"/>
      </w:pPr>
      <w:r>
        <w:rPr>
          <w:color w:val="2D2D2D"/>
          <w:sz w:val="21"/>
        </w:rPr>
        <w:t>Technology, media/telecom, healthcare lead in AI agent adoption</w:t>
      </w:r>
    </w:p>
    <w:p>
      <w:pPr>
        <w:pStyle w:val="ListBullet"/>
        <w:spacing w:after="60"/>
        <w:ind w:left="720"/>
      </w:pPr>
      <w:r>
        <w:rPr>
          <w:color w:val="2D2D2D"/>
          <w:sz w:val="21"/>
        </w:rPr>
        <w:t>Manufacturing and supply chain lag</w:t>
      </w:r>
    </w:p>
    <w:p>
      <w:r>
        <w:rPr>
          <w:b/>
          <w:color w:val="5A5A5A"/>
          <w:sz w:val="22"/>
        </w:rPr>
        <w:t xml:space="preserve">Investment Opportunities: </w:t>
      </w:r>
      <w:r>
        <w:rPr>
          <w:color w:val="2D2D2D"/>
          <w:sz w:val="22"/>
        </w:rPr>
      </w:r>
    </w:p>
    <w:p>
      <w:pPr>
        <w:pStyle w:val="ListNumber"/>
      </w:pPr>
      <w:r>
        <w:t>AI Infrastructure and Platform Providers</w:t>
      </w:r>
    </w:p>
    <w:p>
      <w:pPr>
        <w:pStyle w:val="ListNumber"/>
      </w:pPr>
      <w:r>
        <w:t>AI Agent Development and Deployment</w:t>
      </w:r>
    </w:p>
    <w:p>
      <w:pPr>
        <w:pStyle w:val="ListNumber"/>
      </w:pPr>
      <w:r>
        <w:t>AI Transformation Consulting and Implementation</w:t>
      </w:r>
    </w:p>
    <w:p>
      <w:pPr>
        <w:pStyle w:val="ListNumber"/>
      </w:pPr>
      <w:r>
        <w:t>AI Governance and Risk Management</w:t>
      </w:r>
    </w:p>
    <w:p>
      <w:pPr>
        <w:pStyle w:val="ListNumber"/>
      </w:pPr>
      <w:r>
        <w:t>Vertical AI Solutions for Underpenetrated Sectors</w:t>
      </w:r>
    </w:p>
    <w:p>
      <w:r>
        <w:rPr>
          <w:b/>
          <w:color w:val="5A5A5A"/>
          <w:sz w:val="22"/>
        </w:rPr>
        <w:t xml:space="preserve">Risk Factors: </w:t>
      </w:r>
      <w:r>
        <w:rPr>
          <w:color w:val="2D2D2D"/>
          <w:sz w:val="22"/>
        </w:rPr>
      </w:r>
    </w:p>
    <w:p>
      <w:pPr>
        <w:pStyle w:val="ListNumber"/>
      </w:pPr>
      <w:r>
        <w:t>AI Implementation Value Gap - High</w:t>
      </w:r>
    </w:p>
    <w:p>
      <w:pPr>
        <w:pStyle w:val="ListNumber"/>
      </w:pPr>
      <w:r>
        <w:t>Workforce Displacement and Talent Shortage - High</w:t>
      </w:r>
    </w:p>
    <w:p>
      <w:pPr>
        <w:pStyle w:val="ListNumber"/>
      </w:pPr>
      <w:r>
        <w:t>AI Accuracy and Reliability Risks - Medium</w:t>
      </w:r>
    </w:p>
    <w:p>
      <w:pPr>
        <w:pStyle w:val="ListNumber"/>
      </w:pPr>
      <w:r>
        <w:t>Scaling Execution Challenge - Medium</w:t>
      </w:r>
    </w:p>
    <w:p>
      <w:pPr>
        <w:pStyle w:val="ListNumber"/>
      </w:pPr>
      <w:r>
        <w:t>Regulatory and Compliance Uncertainty - Medium</w:t>
      </w:r>
    </w:p>
    <w:p>
      <w:r>
        <w:rPr>
          <w:b/>
          <w:color w:val="5A5A5A"/>
          <w:sz w:val="22"/>
        </w:rPr>
        <w:t xml:space="preserve">Signal Strength: </w:t>
      </w:r>
      <w:r>
        <w:rPr>
          <w:color w:val="2D2D2D"/>
          <w:sz w:val="22"/>
        </w:rPr>
        <w:t>9/10</w:t>
      </w:r>
    </w:p>
    <w:p>
      <w:r>
        <w:t>Now let me write this in the required format with all 10 sections.</w:t>
      </w:r>
    </w:p>
    <w:p>
      <w:r>
        <w:t>&lt;/think&gt;</w:t>
      </w:r>
    </w:p>
    <w:p>
      <w:pPr>
        <w:pStyle w:val="Title"/>
      </w:pPr>
      <w:r>
        <w:t>AI Scaling &amp; Agentic AI: Investment Pitch Brief</w:t>
      </w:r>
    </w:p>
    <w:p>
      <w:pPr>
        <w:spacing w:before="120" w:after="120"/>
        <w:pBdr>
          <w:bottom w:val="single" w:sz="6" w:space="1" w:color="2E86AB"/>
        </w:pBdr>
      </w:pPr>
    </w:p>
    <w:p>
      <w:pPr>
        <w:spacing w:before="120" w:after="120"/>
        <w:pBdr>
          <w:bottom w:val="single" w:sz="6" w:space="1" w:color="2E86AB"/>
        </w:pBdr>
      </w:pPr>
    </w:p>
    <w:p>
      <w:pPr>
        <w:pStyle w:val="Heading1"/>
      </w:pPr>
      <w:r>
        <w:t>1. Executive Summary</w:t>
      </w:r>
    </w:p>
    <w:p>
      <w:r>
        <w:t xml:space="preserve">The AI market is at a critical inflection point: </w:t>
      </w:r>
      <w:r>
        <w:rPr>
          <w:b/>
        </w:rPr>
        <w:t>88% of organizations</w:t>
      </w:r>
      <w:r>
        <w:t xml:space="preserve"> have adopted AI, yet only </w:t>
      </w:r>
      <w:r>
        <w:rPr>
          <w:b/>
        </w:rPr>
        <w:t>6%</w:t>
      </w:r>
      <w:r>
        <w:t xml:space="preserve"> achieve transformative enterprise value. This gap between experimentation and scaled deployment represents a massive opportunity for investors to back companies that bridge the value capture divide.</w:t>
      </w:r>
    </w:p>
    <w:p>
      <w:pPr>
        <w:pStyle w:val="ListBullet"/>
        <w:spacing w:after="60"/>
        <w:ind w:left="720"/>
      </w:pPr>
      <w:r>
        <w:rPr>
          <w:color w:val="2D2D2D"/>
          <w:sz w:val="21"/>
        </w:rPr>
      </w:r>
      <w:r>
        <w:rPr>
          <w:b/>
          <w:color w:val="1A3C6E"/>
          <w:sz w:val="21"/>
        </w:rPr>
        <w:t>Adoption-Scaling Gap:</w:t>
      </w:r>
      <w:r>
        <w:rPr>
          <w:color w:val="2D2D2D"/>
          <w:sz w:val="21"/>
        </w:rPr>
        <w:t xml:space="preserve"> </w:t>
      </w:r>
      <w:r>
        <w:rPr>
          <w:b/>
          <w:color w:val="1A3C6E"/>
          <w:sz w:val="21"/>
        </w:rPr>
        <w:t>88%</w:t>
      </w:r>
      <w:r>
        <w:rPr>
          <w:color w:val="2D2D2D"/>
          <w:sz w:val="21"/>
        </w:rPr>
        <w:t xml:space="preserve"> use AI but </w:t>
      </w:r>
      <w:r>
        <w:rPr>
          <w:b/>
          <w:color w:val="1A3C6E"/>
          <w:sz w:val="21"/>
        </w:rPr>
        <w:t>~65%</w:t>
      </w:r>
      <w:r>
        <w:rPr>
          <w:color w:val="2D2D2D"/>
          <w:sz w:val="21"/>
        </w:rPr>
        <w:t xml:space="preserve"> have not begun enterprise-wide scaling — creating demand for infrastructure and platform providers</w:t>
      </w:r>
    </w:p>
    <w:p>
      <w:pPr>
        <w:pStyle w:val="ListBullet"/>
        <w:spacing w:after="60"/>
        <w:ind w:left="720"/>
      </w:pPr>
      <w:r>
        <w:rPr>
          <w:color w:val="2D2D2D"/>
          <w:sz w:val="21"/>
        </w:rPr>
      </w:r>
      <w:r>
        <w:rPr>
          <w:b/>
          <w:color w:val="1A3C6E"/>
          <w:sz w:val="21"/>
        </w:rPr>
        <w:t>Agentic AI Differentiation:</w:t>
      </w:r>
      <w:r>
        <w:rPr>
          <w:color w:val="2D2D2D"/>
          <w:sz w:val="21"/>
        </w:rPr>
        <w:t xml:space="preserve"> </w:t>
      </w:r>
      <w:r>
        <w:rPr>
          <w:b/>
          <w:color w:val="1A3C6E"/>
          <w:sz w:val="21"/>
        </w:rPr>
        <w:t>62%</w:t>
      </w:r>
      <w:r>
        <w:rPr>
          <w:color w:val="2D2D2D"/>
          <w:sz w:val="21"/>
        </w:rPr>
        <w:t xml:space="preserve"> experimenting with AI agents, only </w:t>
      </w:r>
      <w:r>
        <w:rPr>
          <w:b/>
          <w:color w:val="1A3C6E"/>
          <w:sz w:val="21"/>
        </w:rPr>
        <w:t>23%</w:t>
      </w:r>
      <w:r>
        <w:rPr>
          <w:color w:val="2D2D2D"/>
          <w:sz w:val="21"/>
        </w:rPr>
        <w:t xml:space="preserve"> scaling — high performers </w:t>
      </w:r>
      <w:r>
        <w:rPr>
          <w:b/>
          <w:color w:val="1A3C6E"/>
          <w:sz w:val="21"/>
        </w:rPr>
        <w:t>3x more likely</w:t>
      </w:r>
      <w:r>
        <w:rPr>
          <w:color w:val="2D2D2D"/>
          <w:sz w:val="21"/>
        </w:rPr>
        <w:t xml:space="preserve"> to scale agents</w:t>
      </w:r>
    </w:p>
    <w:p>
      <w:pPr>
        <w:pStyle w:val="ListBullet"/>
        <w:spacing w:after="60"/>
        <w:ind w:left="720"/>
      </w:pPr>
      <w:r>
        <w:rPr>
          <w:color w:val="2D2D2D"/>
          <w:sz w:val="21"/>
        </w:rPr>
      </w:r>
      <w:r>
        <w:rPr>
          <w:b/>
          <w:color w:val="1A3C6E"/>
          <w:sz w:val="21"/>
        </w:rPr>
        <w:t>Value Concentration:</w:t>
      </w:r>
      <w:r>
        <w:rPr>
          <w:color w:val="2D2D2D"/>
          <w:sz w:val="21"/>
        </w:rPr>
        <w:t xml:space="preserve"> Only </w:t>
      </w:r>
      <w:r>
        <w:rPr>
          <w:b/>
          <w:color w:val="1A3C6E"/>
          <w:sz w:val="21"/>
        </w:rPr>
        <w:t>6%</w:t>
      </w:r>
      <w:r>
        <w:rPr>
          <w:color w:val="2D2D2D"/>
          <w:sz w:val="21"/>
        </w:rPr>
        <w:t xml:space="preserve"> of organizations achieve &gt;5% EBIT impact, yet these high performers </w:t>
      </w:r>
      <w:r>
        <w:rPr>
          <w:b/>
          <w:color w:val="1A3C6E"/>
          <w:sz w:val="21"/>
        </w:rPr>
        <w:t>3.6x more likely</w:t>
      </w:r>
      <w:r>
        <w:rPr>
          <w:color w:val="2D2D2D"/>
          <w:sz w:val="21"/>
        </w:rPr>
        <w:t xml:space="preserve"> to pursue transformative change</w:t>
      </w:r>
    </w:p>
    <w:p>
      <w:pPr>
        <w:pStyle w:val="ListBullet"/>
        <w:spacing w:after="60"/>
        <w:ind w:left="720"/>
      </w:pPr>
      <w:r>
        <w:rPr>
          <w:color w:val="2D2D2D"/>
          <w:sz w:val="21"/>
        </w:rPr>
      </w:r>
      <w:r>
        <w:rPr>
          <w:b/>
          <w:color w:val="1A3C6E"/>
          <w:sz w:val="21"/>
        </w:rPr>
        <w:t>Execution Premium:</w:t>
      </w:r>
      <w:r>
        <w:rPr>
          <w:color w:val="2D2D2D"/>
          <w:sz w:val="21"/>
        </w:rPr>
        <w:t xml:space="preserve"> High performers </w:t>
      </w:r>
      <w:r>
        <w:rPr>
          <w:b/>
          <w:color w:val="1A3C6E"/>
          <w:sz w:val="21"/>
        </w:rPr>
        <w:t>2.8x more likely</w:t>
      </w:r>
      <w:r>
        <w:rPr>
          <w:color w:val="2D2D2D"/>
          <w:sz w:val="21"/>
        </w:rPr>
        <w:t xml:space="preserve"> to redesign workflows rather than layer AI onto existing processes</w:t>
      </w:r>
    </w:p>
    <w:p>
      <w:pPr>
        <w:spacing w:before="120" w:after="120"/>
        <w:pBdr>
          <w:bottom w:val="single" w:sz="6" w:space="1" w:color="2E86AB"/>
        </w:pBdr>
      </w:pPr>
    </w:p>
    <w:p>
      <w:pPr>
        <w:pStyle w:val="Heading1"/>
      </w:pPr>
      <w:r>
        <w:t>2. Market Opportunity</w:t>
      </w:r>
    </w:p>
    <w:p>
      <w:r>
        <w:t>Key indicators highlighting the growth opportunity:</w:t>
      </w:r>
    </w:p>
    <w:p>
      <w:pPr>
        <w:pStyle w:val="ListBullet"/>
        <w:spacing w:after="60"/>
        <w:ind w:left="720"/>
      </w:pPr>
      <w:r>
        <w:rPr>
          <w:color w:val="2D2D2D"/>
          <w:sz w:val="21"/>
        </w:rPr>
      </w:r>
      <w:r>
        <w:rPr>
          <w:b/>
          <w:color w:val="1A3C6E"/>
          <w:sz w:val="21"/>
        </w:rPr>
        <w:t>Organizations Using AI:</w:t>
      </w:r>
      <w:r>
        <w:rPr>
          <w:color w:val="2D2D2D"/>
          <w:sz w:val="21"/>
        </w:rPr>
        <w:t xml:space="preserve"> </w:t>
      </w:r>
      <w:r>
        <w:rPr>
          <w:b/>
          <w:color w:val="1A3C6E"/>
          <w:sz w:val="21"/>
        </w:rPr>
        <w:t>88%</w:t>
      </w:r>
      <w:r>
        <w:rPr>
          <w:color w:val="2D2D2D"/>
          <w:sz w:val="21"/>
        </w:rPr>
        <w:t xml:space="preserve"> — up from 78% YoY, near-universal adoption</w:t>
      </w:r>
    </w:p>
    <w:p>
      <w:pPr>
        <w:pStyle w:val="ListBullet"/>
        <w:spacing w:after="60"/>
        <w:ind w:left="720"/>
      </w:pPr>
      <w:r>
        <w:rPr>
          <w:color w:val="2D2D2D"/>
          <w:sz w:val="21"/>
        </w:rPr>
      </w:r>
      <w:r>
        <w:rPr>
          <w:b/>
          <w:color w:val="1A3C6E"/>
          <w:sz w:val="21"/>
        </w:rPr>
        <w:t>Organizations NOT Scaling Enterprise-Wide:</w:t>
      </w:r>
      <w:r>
        <w:rPr>
          <w:color w:val="2D2D2D"/>
          <w:sz w:val="21"/>
        </w:rPr>
        <w:t xml:space="preserve"> </w:t>
      </w:r>
      <w:r>
        <w:rPr>
          <w:b/>
          <w:color w:val="1A3C6E"/>
          <w:sz w:val="21"/>
        </w:rPr>
        <w:t>~65%</w:t>
      </w:r>
      <w:r>
        <w:rPr>
          <w:color w:val="2D2D2D"/>
          <w:sz w:val="21"/>
        </w:rPr>
        <w:t xml:space="preserve"> — remain in experimentation/piloting phases</w:t>
      </w:r>
    </w:p>
    <w:p>
      <w:pPr>
        <w:pStyle w:val="ListBullet"/>
        <w:spacing w:after="60"/>
        <w:ind w:left="720"/>
      </w:pPr>
      <w:r>
        <w:rPr>
          <w:color w:val="2D2D2D"/>
          <w:sz w:val="21"/>
        </w:rPr>
      </w:r>
      <w:r>
        <w:rPr>
          <w:b/>
          <w:color w:val="1A3C6E"/>
          <w:sz w:val="21"/>
        </w:rPr>
        <w:t>Organizations Scaling AI Agents:</w:t>
      </w:r>
      <w:r>
        <w:rPr>
          <w:color w:val="2D2D2D"/>
          <w:sz w:val="21"/>
        </w:rPr>
        <w:t xml:space="preserve"> </w:t>
      </w:r>
      <w:r>
        <w:rPr>
          <w:b/>
          <w:color w:val="1A3C6E"/>
          <w:sz w:val="21"/>
        </w:rPr>
        <w:t>23%</w:t>
      </w:r>
      <w:r>
        <w:rPr>
          <w:color w:val="2D2D2D"/>
          <w:sz w:val="21"/>
        </w:rPr>
        <w:t xml:space="preserve"> — only one-quarter have reached scaling phase</w:t>
      </w:r>
    </w:p>
    <w:p>
      <w:pPr>
        <w:pStyle w:val="ListBullet"/>
        <w:spacing w:after="60"/>
        <w:ind w:left="720"/>
      </w:pPr>
      <w:r>
        <w:rPr>
          <w:color w:val="2D2D2D"/>
          <w:sz w:val="21"/>
        </w:rPr>
      </w:r>
      <w:r>
        <w:rPr>
          <w:b/>
          <w:color w:val="1A3C6E"/>
          <w:sz w:val="21"/>
        </w:rPr>
        <w:t>Expected Workforce Reduction:</w:t>
      </w:r>
      <w:r>
        <w:rPr>
          <w:color w:val="2D2D2D"/>
          <w:sz w:val="21"/>
        </w:rPr>
        <w:t xml:space="preserve"> </w:t>
      </w:r>
      <w:r>
        <w:rPr>
          <w:b/>
          <w:color w:val="1A3C6E"/>
          <w:sz w:val="21"/>
        </w:rPr>
        <w:t>32%</w:t>
      </w:r>
      <w:r>
        <w:rPr>
          <w:color w:val="2D2D2D"/>
          <w:sz w:val="21"/>
        </w:rPr>
        <w:t xml:space="preserve"> — median 30% expect decreases across business functions next year</w:t>
      </w:r>
    </w:p>
    <w:p>
      <w:pPr>
        <w:pStyle w:val="ListBullet"/>
        <w:spacing w:after="60"/>
        <w:ind w:left="720"/>
      </w:pPr>
      <w:r>
        <w:rPr>
          <w:color w:val="2D2D2D"/>
          <w:sz w:val="21"/>
        </w:rPr>
      </w:r>
      <w:r>
        <w:rPr>
          <w:b/>
          <w:color w:val="1A3C6E"/>
          <w:sz w:val="21"/>
        </w:rPr>
        <w:t>AI High Performers (&gt;5% EBIT):</w:t>
      </w:r>
      <w:r>
        <w:rPr>
          <w:color w:val="2D2D2D"/>
          <w:sz w:val="21"/>
        </w:rPr>
        <w:t xml:space="preserve"> </w:t>
      </w:r>
      <w:r>
        <w:rPr>
          <w:b/>
          <w:color w:val="1A3C6E"/>
          <w:sz w:val="21"/>
        </w:rPr>
        <w:t>6%</w:t>
      </w:r>
      <w:r>
        <w:rPr>
          <w:color w:val="2D2D2D"/>
          <w:sz w:val="21"/>
        </w:rPr>
        <w:t xml:space="preserve"> — elite tier representing outsized value capture</w:t>
      </w:r>
    </w:p>
    <w:p>
      <w:pPr>
        <w:pStyle w:val="ListBullet"/>
        <w:spacing w:after="60"/>
        <w:ind w:left="720"/>
      </w:pPr>
      <w:r>
        <w:rPr>
          <w:color w:val="2D2D2D"/>
          <w:sz w:val="21"/>
        </w:rPr>
      </w:r>
      <w:r>
        <w:rPr>
          <w:b/>
          <w:color w:val="1A3C6E"/>
          <w:sz w:val="21"/>
        </w:rPr>
        <w:t>Innovation Impact:</w:t>
      </w:r>
      <w:r>
        <w:rPr>
          <w:color w:val="2D2D2D"/>
          <w:sz w:val="21"/>
        </w:rPr>
        <w:t xml:space="preserve"> </w:t>
      </w:r>
      <w:r>
        <w:rPr>
          <w:b/>
          <w:color w:val="1A3C6E"/>
          <w:sz w:val="21"/>
        </w:rPr>
        <w:t>64%</w:t>
      </w:r>
      <w:r>
        <w:rPr>
          <w:color w:val="2D2D2D"/>
          <w:sz w:val="21"/>
        </w:rPr>
        <w:t xml:space="preserve"> report AI enabling innovation, but only </w:t>
      </w:r>
      <w:r>
        <w:rPr>
          <w:b/>
          <w:color w:val="1A3C6E"/>
          <w:sz w:val="21"/>
        </w:rPr>
        <w:t>39%</w:t>
      </w:r>
      <w:r>
        <w:rPr>
          <w:color w:val="2D2D2D"/>
          <w:sz w:val="21"/>
        </w:rPr>
        <w:t xml:space="preserve"> see EBIT impact</w:t>
      </w:r>
    </w:p>
    <w:p>
      <w:pPr>
        <w:pStyle w:val="ListBullet"/>
        <w:spacing w:after="60"/>
        <w:ind w:left="720"/>
      </w:pPr>
      <w:r>
        <w:rPr>
          <w:color w:val="2D2D2D"/>
          <w:sz w:val="21"/>
        </w:rPr>
      </w:r>
      <w:r>
        <w:rPr>
          <w:b/>
          <w:color w:val="1A3C6E"/>
          <w:sz w:val="21"/>
        </w:rPr>
        <w:t>Scaling Gap by Company Size:</w:t>
      </w:r>
      <w:r>
        <w:rPr>
          <w:color w:val="2D2D2D"/>
          <w:sz w:val="21"/>
        </w:rPr>
        <w:t xml:space="preserve"> </w:t>
      </w:r>
      <w:r>
        <w:rPr>
          <w:b/>
          <w:color w:val="1A3C6E"/>
          <w:sz w:val="21"/>
        </w:rPr>
        <w:t>50%</w:t>
      </w:r>
      <w:r>
        <w:rPr>
          <w:color w:val="2D2D2D"/>
          <w:sz w:val="21"/>
        </w:rPr>
        <w:t xml:space="preserve"> of $5B+ companies scaled vs. </w:t>
      </w:r>
      <w:r>
        <w:rPr>
          <w:b/>
          <w:color w:val="1A3C6E"/>
          <w:sz w:val="21"/>
        </w:rPr>
        <w:t>29%</w:t>
      </w:r>
      <w:r>
        <w:rPr>
          <w:color w:val="2D2D2D"/>
          <w:sz w:val="21"/>
        </w:rPr>
        <w:t xml:space="preserve"> of &lt;$100M companies</w:t>
      </w:r>
    </w:p>
    <w:p>
      <w:pPr>
        <w:spacing w:before="120" w:after="120"/>
        <w:pBdr>
          <w:bottom w:val="single" w:sz="6" w:space="1" w:color="2E86AB"/>
        </w:pBdr>
      </w:pPr>
    </w:p>
    <w:p>
      <w:pPr>
        <w:pStyle w:val="Heading1"/>
      </w:pPr>
      <w:r>
        <w:t>3. Target Company Profile</w:t>
      </w:r>
    </w:p>
    <w:p>
      <w:r>
        <w:t>Ideal investment targets:</w:t>
      </w:r>
    </w:p>
    <w:p>
      <w:pPr>
        <w:pStyle w:val="ListBullet"/>
        <w:spacing w:after="60"/>
        <w:ind w:left="720"/>
      </w:pPr>
      <w:r>
        <w:rPr>
          <w:color w:val="2D2D2D"/>
          <w:sz w:val="21"/>
        </w:rPr>
      </w:r>
      <w:r>
        <w:rPr>
          <w:b/>
          <w:color w:val="1A3C6E"/>
          <w:sz w:val="21"/>
        </w:rPr>
        <w:t>Enterprise Scaling Capability:</w:t>
      </w:r>
      <w:r>
        <w:rPr>
          <w:color w:val="2D2D2D"/>
          <w:sz w:val="21"/>
        </w:rPr>
        <w:t xml:space="preserve"> Demonstrated ability to deploy AI across multiple functions, not just pilots</w:t>
      </w:r>
    </w:p>
    <w:p>
      <w:pPr>
        <w:pStyle w:val="ListBullet"/>
        <w:spacing w:after="60"/>
        <w:ind w:left="720"/>
      </w:pPr>
      <w:r>
        <w:rPr>
          <w:color w:val="2D2D2D"/>
          <w:sz w:val="21"/>
        </w:rPr>
      </w:r>
      <w:r>
        <w:rPr>
          <w:b/>
          <w:color w:val="1A3C6E"/>
          <w:sz w:val="21"/>
        </w:rPr>
        <w:t>Agentic AI Focus:</w:t>
      </w:r>
      <w:r>
        <w:rPr>
          <w:color w:val="2D2D2D"/>
          <w:sz w:val="21"/>
        </w:rPr>
        <w:t xml:space="preserve"> Platforms or solutions enabling multi-step workflow automation with planning capabilities</w:t>
      </w:r>
    </w:p>
    <w:p>
      <w:pPr>
        <w:pStyle w:val="ListBullet"/>
        <w:spacing w:after="60"/>
        <w:ind w:left="720"/>
      </w:pPr>
      <w:r>
        <w:rPr>
          <w:color w:val="2D2D2D"/>
          <w:sz w:val="21"/>
        </w:rPr>
      </w:r>
      <w:r>
        <w:rPr>
          <w:b/>
          <w:color w:val="1A3C6E"/>
          <w:sz w:val="21"/>
        </w:rPr>
        <w:t>Workflow Transformation Approach:</w:t>
      </w:r>
      <w:r>
        <w:rPr>
          <w:color w:val="2D2D2D"/>
          <w:sz w:val="21"/>
        </w:rPr>
        <w:t xml:space="preserve"> Fundamentally redesigns processes rather than layering AI onto legacy workflows</w:t>
      </w:r>
    </w:p>
    <w:p>
      <w:pPr>
        <w:pStyle w:val="ListBullet"/>
        <w:spacing w:after="60"/>
        <w:ind w:left="720"/>
      </w:pPr>
      <w:r>
        <w:rPr>
          <w:color w:val="2D2D2D"/>
          <w:sz w:val="21"/>
        </w:rPr>
      </w:r>
      <w:r>
        <w:rPr>
          <w:b/>
          <w:color w:val="1A3C6E"/>
          <w:sz w:val="21"/>
        </w:rPr>
        <w:t>Vertical Specialization:</w:t>
      </w:r>
      <w:r>
        <w:rPr>
          <w:color w:val="2D2D2D"/>
          <w:sz w:val="21"/>
        </w:rPr>
        <w:t xml:space="preserve"> Targets underpenetrated sectors (manufacturing, supply chain, construction) with &lt;10% agent adoption</w:t>
      </w:r>
    </w:p>
    <w:p>
      <w:pPr>
        <w:pStyle w:val="ListBullet"/>
        <w:spacing w:after="60"/>
        <w:ind w:left="720"/>
      </w:pPr>
      <w:r>
        <w:rPr>
          <w:color w:val="2D2D2D"/>
          <w:sz w:val="21"/>
        </w:rPr>
      </w:r>
      <w:r>
        <w:rPr>
          <w:b/>
          <w:color w:val="1A3C6E"/>
          <w:sz w:val="21"/>
        </w:rPr>
        <w:t>Governance &amp; Accuracy:</w:t>
      </w:r>
      <w:r>
        <w:rPr>
          <w:color w:val="2D2D2D"/>
          <w:sz w:val="21"/>
        </w:rPr>
        <w:t xml:space="preserve"> Strong human-in-the-loop processes and AI reliability assurances</w:t>
      </w:r>
    </w:p>
    <w:p>
      <w:pPr>
        <w:pStyle w:val="ListBullet"/>
        <w:spacing w:after="60"/>
        <w:ind w:left="720"/>
      </w:pPr>
      <w:r>
        <w:rPr>
          <w:color w:val="2D2D2D"/>
          <w:sz w:val="21"/>
        </w:rPr>
      </w:r>
      <w:r>
        <w:rPr>
          <w:b/>
          <w:color w:val="1A3C6E"/>
          <w:sz w:val="21"/>
        </w:rPr>
        <w:t>Senior Leadership Commitment:</w:t>
      </w:r>
      <w:r>
        <w:rPr>
          <w:color w:val="2D2D2D"/>
          <w:sz w:val="21"/>
        </w:rPr>
        <w:t xml:space="preserve"> Evidence of C-suite ownership and transformative ambition beyond efficiency gains</w:t>
      </w:r>
    </w:p>
    <w:p>
      <w:pPr>
        <w:spacing w:before="120" w:after="120"/>
        <w:pBdr>
          <w:bottom w:val="single" w:sz="6" w:space="1" w:color="2E86AB"/>
        </w:pBdr>
      </w:pPr>
    </w:p>
    <w:p>
      <w:pPr>
        <w:pStyle w:val="Heading1"/>
      </w:pPr>
      <w:r>
        <w:t>4. Competitive Landscape</w:t>
      </w:r>
    </w:p>
    <w:p>
      <w:pPr>
        <w:pStyle w:val="Heading2"/>
      </w:pPr>
      <w:r>
        <w:t>Overview</w:t>
      </w:r>
    </w:p>
    <w:p>
      <w:r>
        <w:t xml:space="preserve">The AI market exhibits a stark divide between widespread experimentation and limited scaled deployment. The elite </w:t>
      </w:r>
      <w:r>
        <w:rPr>
          <w:b/>
        </w:rPr>
        <w:t>6%</w:t>
      </w:r>
      <w:r>
        <w:t xml:space="preserve"> of high-performing organizations achieve outsized results through transformative ambitions, workflow redesign, and strong leadership commitment. Technology, media/telecom, and healthcare lead in AI agent adoption, while larger companies significantly outperform smaller ones in scaling capabilities.</w:t>
      </w:r>
    </w:p>
    <w:p>
      <w:pPr>
        <w:pStyle w:val="Heading2"/>
      </w:pPr>
      <w:r>
        <w:t>Leader Characteristics</w:t>
      </w:r>
    </w:p>
    <w:p>
      <w:pPr>
        <w:pStyle w:val="ListBullet"/>
        <w:spacing w:after="60"/>
        <w:ind w:left="720"/>
      </w:pPr>
      <w:r>
        <w:rPr>
          <w:color w:val="2D2D2D"/>
          <w:sz w:val="21"/>
        </w:rPr>
      </w:r>
      <w:r>
        <w:rPr>
          <w:b/>
          <w:color w:val="1A3C6E"/>
          <w:sz w:val="21"/>
        </w:rPr>
        <w:t>Growth &amp; Innovation Objectives:</w:t>
      </w:r>
      <w:r>
        <w:rPr>
          <w:color w:val="2D2D2D"/>
          <w:sz w:val="21"/>
        </w:rPr>
        <w:t xml:space="preserve"> High performers set growth (</w:t>
      </w:r>
      <w:r>
        <w:rPr>
          <w:b/>
          <w:color w:val="1A3C6E"/>
          <w:sz w:val="21"/>
        </w:rPr>
        <w:t>50%</w:t>
      </w:r>
      <w:r>
        <w:rPr>
          <w:color w:val="2D2D2D"/>
          <w:sz w:val="21"/>
        </w:rPr>
        <w:t>) and innovation (</w:t>
      </w:r>
      <w:r>
        <w:rPr>
          <w:b/>
          <w:color w:val="1A3C6E"/>
          <w:sz w:val="21"/>
        </w:rPr>
        <w:t>79%</w:t>
      </w:r>
      <w:r>
        <w:rPr>
          <w:color w:val="2D2D2D"/>
          <w:sz w:val="21"/>
        </w:rPr>
        <w:t>) alongside efficiency goals (80%)</w:t>
      </w:r>
    </w:p>
    <w:p>
      <w:pPr>
        <w:pStyle w:val="ListBullet"/>
        <w:spacing w:after="60"/>
        <w:ind w:left="720"/>
      </w:pPr>
      <w:r>
        <w:rPr>
          <w:color w:val="2D2D2D"/>
          <w:sz w:val="21"/>
        </w:rPr>
      </w:r>
      <w:r>
        <w:rPr>
          <w:b/>
          <w:color w:val="1A3C6E"/>
          <w:sz w:val="21"/>
        </w:rPr>
        <w:t>Workflow Redesign:</w:t>
      </w:r>
      <w:r>
        <w:rPr>
          <w:color w:val="2D2D2D"/>
          <w:sz w:val="21"/>
        </w:rPr>
        <w:t xml:space="preserve"> </w:t>
      </w:r>
      <w:r>
        <w:rPr>
          <w:b/>
          <w:color w:val="1A3C6E"/>
          <w:sz w:val="21"/>
        </w:rPr>
        <w:t>55%</w:t>
      </w:r>
      <w:r>
        <w:rPr>
          <w:color w:val="2D2D2D"/>
          <w:sz w:val="21"/>
        </w:rPr>
        <w:t xml:space="preserve"> of high performers fundamentally redesign workflows vs. </w:t>
      </w:r>
      <w:r>
        <w:rPr>
          <w:b/>
          <w:color w:val="1A3C6E"/>
          <w:sz w:val="21"/>
        </w:rPr>
        <w:t>20%</w:t>
      </w:r>
      <w:r>
        <w:rPr>
          <w:color w:val="2D2D2D"/>
          <w:sz w:val="21"/>
        </w:rPr>
        <w:t xml:space="preserve"> of all respondents</w:t>
      </w:r>
    </w:p>
    <w:p>
      <w:pPr>
        <w:pStyle w:val="ListBullet"/>
        <w:spacing w:after="60"/>
        <w:ind w:left="720"/>
      </w:pPr>
      <w:r>
        <w:rPr>
          <w:color w:val="2D2D2D"/>
          <w:sz w:val="21"/>
        </w:rPr>
      </w:r>
      <w:r>
        <w:rPr>
          <w:b/>
          <w:color w:val="1A3C6E"/>
          <w:sz w:val="21"/>
        </w:rPr>
        <w:t>Leadership Ownership:</w:t>
      </w:r>
      <w:r>
        <w:rPr>
          <w:color w:val="2D2D2D"/>
          <w:sz w:val="21"/>
        </w:rPr>
        <w:t xml:space="preserve"> High performers </w:t>
      </w:r>
      <w:r>
        <w:rPr>
          <w:b/>
          <w:color w:val="1A3C6E"/>
          <w:sz w:val="21"/>
        </w:rPr>
        <w:t>3x more likely</w:t>
      </w:r>
      <w:r>
        <w:rPr>
          <w:color w:val="2D2D2D"/>
          <w:sz w:val="21"/>
        </w:rPr>
        <w:t xml:space="preserve"> to have senior leaders who demonstrate ownership of AI initiatives</w:t>
      </w:r>
    </w:p>
    <w:p>
      <w:pPr>
        <w:pStyle w:val="ListBullet"/>
        <w:spacing w:after="60"/>
        <w:ind w:left="720"/>
      </w:pPr>
      <w:r>
        <w:rPr>
          <w:color w:val="2D2D2D"/>
          <w:sz w:val="21"/>
        </w:rPr>
      </w:r>
      <w:r>
        <w:rPr>
          <w:b/>
          <w:color w:val="1A3C6E"/>
          <w:sz w:val="21"/>
        </w:rPr>
        <w:t>Investment Intensity:</w:t>
      </w:r>
      <w:r>
        <w:rPr>
          <w:color w:val="2D2D2D"/>
          <w:sz w:val="21"/>
        </w:rPr>
        <w:t xml:space="preserve"> </w:t>
      </w:r>
      <w:r>
        <w:rPr>
          <w:b/>
          <w:color w:val="1A3C6E"/>
          <w:sz w:val="21"/>
        </w:rPr>
        <w:t>4.9x more likely</w:t>
      </w:r>
      <w:r>
        <w:rPr>
          <w:color w:val="2D2D2D"/>
          <w:sz w:val="21"/>
        </w:rPr>
        <w:t xml:space="preserve"> to spend &gt;20% of digital budget on AI</w:t>
      </w:r>
    </w:p>
    <w:p>
      <w:pPr>
        <w:pStyle w:val="Heading2"/>
      </w:pPr>
      <w:r>
        <w:t>Key Differentiators</w:t>
      </w:r>
    </w:p>
    <w:p>
      <w:pPr>
        <w:pStyle w:val="ListBullet"/>
        <w:spacing w:after="60"/>
        <w:ind w:left="720"/>
      </w:pPr>
      <w:r>
        <w:rPr>
          <w:color w:val="2D2D2D"/>
          <w:sz w:val="21"/>
        </w:rPr>
      </w:r>
      <w:r>
        <w:rPr>
          <w:b/>
          <w:color w:val="1A3C6E"/>
          <w:sz w:val="21"/>
        </w:rPr>
        <w:t>Enterprise-Wide Scaling:</w:t>
      </w:r>
      <w:r>
        <w:rPr>
          <w:color w:val="2D2D2D"/>
          <w:sz w:val="21"/>
        </w:rPr>
        <w:t xml:space="preserve"> High performers at </w:t>
      </w:r>
      <w:r>
        <w:rPr>
          <w:b/>
          <w:color w:val="1A3C6E"/>
          <w:sz w:val="21"/>
        </w:rPr>
        <w:t>75%</w:t>
      </w:r>
      <w:r>
        <w:rPr>
          <w:color w:val="2D2D2D"/>
          <w:sz w:val="21"/>
        </w:rPr>
        <w:t xml:space="preserve"> scaling vs. </w:t>
      </w:r>
      <w:r>
        <w:rPr>
          <w:b/>
          <w:color w:val="1A3C6E"/>
          <w:sz w:val="21"/>
        </w:rPr>
        <w:t>33%</w:t>
      </w:r>
      <w:r>
        <w:rPr>
          <w:color w:val="2D2D2D"/>
          <w:sz w:val="21"/>
        </w:rPr>
        <w:t xml:space="preserve"> of all organizations</w:t>
      </w:r>
    </w:p>
    <w:p>
      <w:pPr>
        <w:pStyle w:val="ListBullet"/>
        <w:spacing w:after="60"/>
        <w:ind w:left="720"/>
      </w:pPr>
      <w:r>
        <w:rPr>
          <w:color w:val="2D2D2D"/>
          <w:sz w:val="21"/>
        </w:rPr>
      </w:r>
      <w:r>
        <w:rPr>
          <w:b/>
          <w:color w:val="1A3C6E"/>
          <w:sz w:val="21"/>
        </w:rPr>
        <w:t>Agentic AI Deployment:</w:t>
      </w:r>
      <w:r>
        <w:rPr>
          <w:color w:val="2D2D2D"/>
          <w:sz w:val="21"/>
        </w:rPr>
        <w:t xml:space="preserve"> High performers </w:t>
      </w:r>
      <w:r>
        <w:rPr>
          <w:b/>
          <w:color w:val="1A3C6E"/>
          <w:sz w:val="21"/>
        </w:rPr>
        <w:t>3x more likely</w:t>
      </w:r>
      <w:r>
        <w:rPr>
          <w:color w:val="2D2D2D"/>
          <w:sz w:val="21"/>
        </w:rPr>
        <w:t xml:space="preserve"> to scale agents across functions</w:t>
      </w:r>
    </w:p>
    <w:p>
      <w:pPr>
        <w:pStyle w:val="ListBullet"/>
        <w:spacing w:after="60"/>
        <w:ind w:left="720"/>
      </w:pPr>
      <w:r>
        <w:rPr>
          <w:color w:val="2D2D2D"/>
          <w:sz w:val="21"/>
        </w:rPr>
      </w:r>
      <w:r>
        <w:rPr>
          <w:b/>
          <w:color w:val="1A3C6E"/>
          <w:sz w:val="21"/>
        </w:rPr>
        <w:t>Comprehensive Management Practices:</w:t>
      </w:r>
      <w:r>
        <w:rPr>
          <w:color w:val="2D2D2D"/>
          <w:sz w:val="21"/>
        </w:rPr>
        <w:t xml:space="preserve"> Strategy, talent, operating model, technology, data, and adoption/scaling integration</w:t>
      </w:r>
    </w:p>
    <w:p>
      <w:pPr>
        <w:spacing w:before="120" w:after="120"/>
        <w:pBdr>
          <w:bottom w:val="single" w:sz="6" w:space="1" w:color="2E86AB"/>
        </w:pBdr>
      </w:pPr>
    </w:p>
    <w:p>
      <w:pPr>
        <w:pStyle w:val="Heading1"/>
      </w:pPr>
      <w:r>
        <w:t>5. Investment Opportunities</w:t>
      </w:r>
    </w:p>
    <w:p>
      <w:pPr>
        <w:pStyle w:val="Heading2"/>
      </w:pPr>
      <w:r>
        <w:t>1. AI Infrastructure and Platform Providers</w:t>
      </w:r>
    </w:p>
    <w:p>
      <w:pPr>
        <w:pStyle w:val="ListBullet"/>
        <w:spacing w:after="60"/>
        <w:ind w:left="720"/>
      </w:pPr>
      <w:r>
        <w:rPr>
          <w:color w:val="2D2D2D"/>
          <w:sz w:val="21"/>
        </w:rPr>
      </w:r>
      <w:r>
        <w:rPr>
          <w:b/>
          <w:color w:val="1A3C6E"/>
          <w:sz w:val="21"/>
        </w:rPr>
        <w:t>Market Potential:</w:t>
      </w:r>
      <w:r>
        <w:rPr>
          <w:color w:val="2D2D2D"/>
          <w:sz w:val="21"/>
        </w:rPr>
        <w:t xml:space="preserve"> Organizations with &gt;$1B revenue </w:t>
      </w:r>
      <w:r>
        <w:rPr>
          <w:b/>
          <w:color w:val="1A3C6E"/>
          <w:sz w:val="21"/>
        </w:rPr>
        <w:t>2x more likely</w:t>
      </w:r>
      <w:r>
        <w:rPr>
          <w:color w:val="2D2D2D"/>
          <w:sz w:val="21"/>
        </w:rPr>
        <w:t xml:space="preserve"> to hire for data readiness and MLOps roles</w:t>
      </w:r>
    </w:p>
    <w:p>
      <w:pPr>
        <w:pStyle w:val="ListBullet"/>
        <w:spacing w:after="60"/>
        <w:ind w:left="720"/>
      </w:pPr>
      <w:r>
        <w:rPr>
          <w:color w:val="2D2D2D"/>
          <w:sz w:val="21"/>
        </w:rPr>
      </w:r>
      <w:r>
        <w:rPr>
          <w:b/>
          <w:color w:val="1A3C6E"/>
          <w:sz w:val="21"/>
        </w:rPr>
        <w:t>Target Segments:</w:t>
      </w:r>
      <w:r>
        <w:rPr>
          <w:color w:val="2D2D2D"/>
          <w:sz w:val="21"/>
        </w:rPr>
        <w:t xml:space="preserve"> Enterprise AI platform providers, MLOps and AI lifecycle management, data infrastructure and products, AI governance and compliance tools</w:t>
      </w:r>
    </w:p>
    <w:p>
      <w:pPr>
        <w:pStyle w:val="ListBullet"/>
        <w:spacing w:after="60"/>
        <w:ind w:left="720"/>
      </w:pPr>
      <w:r>
        <w:rPr>
          <w:color w:val="2D2D2D"/>
          <w:sz w:val="21"/>
        </w:rPr>
      </w:r>
      <w:r>
        <w:rPr>
          <w:b/>
          <w:color w:val="1A3C6E"/>
          <w:sz w:val="21"/>
        </w:rPr>
        <w:t>Rationale:</w:t>
      </w:r>
      <w:r>
        <w:rPr>
          <w:color w:val="2D2D2D"/>
          <w:sz w:val="21"/>
        </w:rPr>
        <w:t xml:space="preserve"> With </w:t>
      </w:r>
      <w:r>
        <w:rPr>
          <w:b/>
          <w:color w:val="1A3C6E"/>
          <w:sz w:val="21"/>
        </w:rPr>
        <w:t>65%</w:t>
      </w:r>
      <w:r>
        <w:rPr>
          <w:color w:val="2D2D2D"/>
          <w:sz w:val="21"/>
        </w:rPr>
        <w:t xml:space="preserve"> in experimentation/piloting phases, demand for scaling infrastructure will surge</w:t>
      </w:r>
    </w:p>
    <w:p>
      <w:pPr>
        <w:pStyle w:val="Heading2"/>
      </w:pPr>
      <w:r>
        <w:t>2. AI Agent Development and Deployment</w:t>
      </w:r>
    </w:p>
    <w:p>
      <w:pPr>
        <w:pStyle w:val="ListBullet"/>
        <w:spacing w:after="60"/>
        <w:ind w:left="720"/>
      </w:pPr>
      <w:r>
        <w:rPr>
          <w:color w:val="2D2D2D"/>
          <w:sz w:val="21"/>
        </w:rPr>
      </w:r>
      <w:r>
        <w:rPr>
          <w:b/>
          <w:color w:val="1A3C6E"/>
          <w:sz w:val="21"/>
        </w:rPr>
        <w:t>Market Potential:</w:t>
      </w:r>
      <w:r>
        <w:rPr>
          <w:color w:val="2D2D2D"/>
          <w:sz w:val="21"/>
        </w:rPr>
        <w:t xml:space="preserve"> No more than </w:t>
      </w:r>
      <w:r>
        <w:rPr>
          <w:b/>
          <w:color w:val="1A3C6E"/>
          <w:sz w:val="21"/>
        </w:rPr>
        <w:t>10%</w:t>
      </w:r>
      <w:r>
        <w:rPr>
          <w:color w:val="2D2D2D"/>
          <w:sz w:val="21"/>
        </w:rPr>
        <w:t xml:space="preserve"> scaling agents in any individual function today — massive expansion runway</w:t>
      </w:r>
    </w:p>
    <w:p>
      <w:pPr>
        <w:pStyle w:val="ListBullet"/>
        <w:spacing w:after="60"/>
        <w:ind w:left="720"/>
      </w:pPr>
      <w:r>
        <w:rPr>
          <w:color w:val="2D2D2D"/>
          <w:sz w:val="21"/>
        </w:rPr>
      </w:r>
      <w:r>
        <w:rPr>
          <w:b/>
          <w:color w:val="1A3C6E"/>
          <w:sz w:val="21"/>
        </w:rPr>
        <w:t>Target Segments:</w:t>
      </w:r>
      <w:r>
        <w:rPr>
          <w:color w:val="2D2D2D"/>
          <w:sz w:val="21"/>
        </w:rPr>
        <w:t xml:space="preserve"> Agentic AI platforms, workflow automation agents, industry-specific agents (IT service desk, research, manufacturing)</w:t>
      </w:r>
    </w:p>
    <w:p>
      <w:pPr>
        <w:pStyle w:val="ListBullet"/>
        <w:spacing w:after="60"/>
        <w:ind w:left="720"/>
      </w:pPr>
      <w:r>
        <w:rPr>
          <w:color w:val="2D2D2D"/>
          <w:sz w:val="21"/>
        </w:rPr>
      </w:r>
      <w:r>
        <w:rPr>
          <w:b/>
          <w:color w:val="1A3C6E"/>
          <w:sz w:val="21"/>
        </w:rPr>
        <w:t>Rationale:</w:t>
      </w:r>
      <w:r>
        <w:rPr>
          <w:color w:val="2D2D2D"/>
          <w:sz w:val="21"/>
        </w:rPr>
        <w:t xml:space="preserve"> </w:t>
      </w:r>
      <w:r>
        <w:rPr>
          <w:b/>
          <w:color w:val="1A3C6E"/>
          <w:sz w:val="21"/>
        </w:rPr>
        <w:t>62%</w:t>
      </w:r>
      <w:r>
        <w:rPr>
          <w:color w:val="2D2D2D"/>
          <w:sz w:val="21"/>
        </w:rPr>
        <w:t xml:space="preserve"> experimenting, </w:t>
      </w:r>
      <w:r>
        <w:rPr>
          <w:b/>
          <w:color w:val="1A3C6E"/>
          <w:sz w:val="21"/>
        </w:rPr>
        <w:t>23%</w:t>
      </w:r>
      <w:r>
        <w:rPr>
          <w:color w:val="2D2D2D"/>
          <w:sz w:val="21"/>
        </w:rPr>
        <w:t xml:space="preserve"> scaling — indicates significant near-term growth potential</w:t>
      </w:r>
    </w:p>
    <w:p>
      <w:pPr>
        <w:pStyle w:val="Heading2"/>
      </w:pPr>
      <w:r>
        <w:t>3. AI Transformation Consulting and Implementation</w:t>
      </w:r>
    </w:p>
    <w:p>
      <w:pPr>
        <w:pStyle w:val="ListBullet"/>
        <w:spacing w:after="60"/>
        <w:ind w:left="720"/>
      </w:pPr>
      <w:r>
        <w:rPr>
          <w:color w:val="2D2D2D"/>
          <w:sz w:val="21"/>
        </w:rPr>
      </w:r>
      <w:r>
        <w:rPr>
          <w:b/>
          <w:color w:val="1A3C6E"/>
          <w:sz w:val="21"/>
        </w:rPr>
        <w:t>Market Potential:</w:t>
      </w:r>
      <w:r>
        <w:rPr>
          <w:color w:val="2D2D2D"/>
          <w:sz w:val="21"/>
        </w:rPr>
        <w:t xml:space="preserve"> High performers invest </w:t>
      </w:r>
      <w:r>
        <w:rPr>
          <w:b/>
          <w:color w:val="1A3C6E"/>
          <w:sz w:val="21"/>
        </w:rPr>
        <w:t>4.9x more</w:t>
      </w:r>
      <w:r>
        <w:rPr>
          <w:color w:val="2D2D2D"/>
          <w:sz w:val="21"/>
        </w:rPr>
        <w:t xml:space="preserve"> in AI; average digital budgets for AI increasing</w:t>
      </w:r>
    </w:p>
    <w:p>
      <w:pPr>
        <w:pStyle w:val="ListBullet"/>
        <w:spacing w:after="60"/>
        <w:ind w:left="720"/>
      </w:pPr>
      <w:r>
        <w:rPr>
          <w:color w:val="2D2D2D"/>
          <w:sz w:val="21"/>
        </w:rPr>
      </w:r>
      <w:r>
        <w:rPr>
          <w:b/>
          <w:color w:val="1A3C6E"/>
          <w:sz w:val="21"/>
        </w:rPr>
        <w:t>Target Segments:</w:t>
      </w:r>
      <w:r>
        <w:rPr>
          <w:color w:val="2D2D2D"/>
          <w:sz w:val="21"/>
        </w:rPr>
        <w:t xml:space="preserve"> AI transformation consultancies, workflow redesign specialists, AI talent and upskilling providers</w:t>
      </w:r>
    </w:p>
    <w:p>
      <w:pPr>
        <w:pStyle w:val="ListBullet"/>
        <w:spacing w:after="60"/>
        <w:ind w:left="720"/>
      </w:pPr>
      <w:r>
        <w:rPr>
          <w:color w:val="2D2D2D"/>
          <w:sz w:val="21"/>
        </w:rPr>
      </w:r>
      <w:r>
        <w:rPr>
          <w:b/>
          <w:color w:val="1A3C6E"/>
          <w:sz w:val="21"/>
        </w:rPr>
        <w:t>Rationale:</w:t>
      </w:r>
      <w:r>
        <w:rPr>
          <w:color w:val="2D2D2D"/>
          <w:sz w:val="21"/>
        </w:rPr>
        <w:t xml:space="preserve"> Transformation requires integrated capabilities across strategy/talent/technology/data</w:t>
      </w:r>
    </w:p>
    <w:p>
      <w:pPr>
        <w:pStyle w:val="Heading2"/>
      </w:pPr>
      <w:r>
        <w:t>4. AI Governance and Risk Management</w:t>
      </w:r>
    </w:p>
    <w:p>
      <w:pPr>
        <w:pStyle w:val="ListBullet"/>
        <w:spacing w:after="60"/>
        <w:ind w:left="720"/>
      </w:pPr>
      <w:r>
        <w:rPr>
          <w:color w:val="2D2D2D"/>
          <w:sz w:val="21"/>
        </w:rPr>
      </w:r>
      <w:r>
        <w:rPr>
          <w:b/>
          <w:color w:val="1A3C6E"/>
          <w:sz w:val="21"/>
        </w:rPr>
        <w:t>Market Potential:</w:t>
      </w:r>
      <w:r>
        <w:rPr>
          <w:color w:val="2D2D2D"/>
          <w:sz w:val="21"/>
        </w:rPr>
        <w:t xml:space="preserve"> Average risks mitigated per organization increased from </w:t>
      </w:r>
      <w:r>
        <w:rPr>
          <w:b/>
          <w:color w:val="1A3C6E"/>
          <w:sz w:val="21"/>
        </w:rPr>
        <w:t>2 (2022)</w:t>
      </w:r>
      <w:r>
        <w:rPr>
          <w:color w:val="2D2D2D"/>
          <w:sz w:val="21"/>
        </w:rPr>
        <w:t xml:space="preserve"> to </w:t>
      </w:r>
      <w:r>
        <w:rPr>
          <w:b/>
          <w:color w:val="1A3C6E"/>
          <w:sz w:val="21"/>
        </w:rPr>
        <w:t>4 (2025)</w:t>
      </w:r>
      <w:r>
        <w:rPr>
          <w:color w:val="2D2D2D"/>
          <w:sz w:val="21"/>
        </w:rPr>
      </w:r>
    </w:p>
    <w:p>
      <w:pPr>
        <w:pStyle w:val="ListBullet"/>
        <w:spacing w:after="60"/>
        <w:ind w:left="720"/>
      </w:pPr>
      <w:r>
        <w:rPr>
          <w:color w:val="2D2D2D"/>
          <w:sz w:val="21"/>
        </w:rPr>
      </w:r>
      <w:r>
        <w:rPr>
          <w:b/>
          <w:color w:val="1A3C6E"/>
          <w:sz w:val="21"/>
        </w:rPr>
        <w:t>Target Segments:</w:t>
      </w:r>
      <w:r>
        <w:rPr>
          <w:color w:val="2D2D2D"/>
          <w:sz w:val="21"/>
        </w:rPr>
        <w:t xml:space="preserve"> AI accuracy and inaccuracy detection, AI governance platforms, compliance and regulatory solutions, AI ethics and fairness tools</w:t>
      </w:r>
    </w:p>
    <w:p>
      <w:pPr>
        <w:pStyle w:val="ListBullet"/>
        <w:spacing w:after="60"/>
        <w:ind w:left="720"/>
      </w:pPr>
      <w:r>
        <w:rPr>
          <w:color w:val="2D2D2D"/>
          <w:sz w:val="21"/>
        </w:rPr>
      </w:r>
      <w:r>
        <w:rPr>
          <w:b/>
          <w:color w:val="1A3C6E"/>
          <w:sz w:val="21"/>
        </w:rPr>
        <w:t>Rationale:</w:t>
      </w:r>
      <w:r>
        <w:rPr>
          <w:color w:val="2D2D2D"/>
          <w:sz w:val="21"/>
        </w:rPr>
        <w:t xml:space="preserve"> </w:t>
      </w:r>
      <w:r>
        <w:rPr>
          <w:b/>
          <w:color w:val="1A3C6E"/>
          <w:sz w:val="21"/>
        </w:rPr>
        <w:t>51%</w:t>
      </w:r>
      <w:r>
        <w:rPr>
          <w:color w:val="2D2D2D"/>
          <w:sz w:val="21"/>
        </w:rPr>
        <w:t xml:space="preserve"> experienced negative consequences; </w:t>
      </w:r>
      <w:r>
        <w:rPr>
          <w:b/>
          <w:color w:val="1A3C6E"/>
          <w:sz w:val="21"/>
        </w:rPr>
        <w:t>30%</w:t>
      </w:r>
      <w:r>
        <w:rPr>
          <w:color w:val="2D2D2D"/>
          <w:sz w:val="21"/>
        </w:rPr>
        <w:t xml:space="preserve"> experienced AI inaccuracy</w:t>
      </w:r>
    </w:p>
    <w:p>
      <w:pPr>
        <w:pStyle w:val="Heading2"/>
      </w:pPr>
      <w:r>
        <w:t>5. Vertical AI Solutions for Underpenetrated Sectors</w:t>
      </w:r>
    </w:p>
    <w:p>
      <w:pPr>
        <w:pStyle w:val="ListBullet"/>
        <w:spacing w:after="60"/>
        <w:ind w:left="720"/>
      </w:pPr>
      <w:r>
        <w:rPr>
          <w:color w:val="2D2D2D"/>
          <w:sz w:val="21"/>
        </w:rPr>
      </w:r>
      <w:r>
        <w:rPr>
          <w:b/>
          <w:color w:val="1A3C6E"/>
          <w:sz w:val="21"/>
        </w:rPr>
        <w:t>Market Potential:</w:t>
      </w:r>
      <w:r>
        <w:rPr>
          <w:color w:val="2D2D2D"/>
          <w:sz w:val="21"/>
        </w:rPr>
        <w:t xml:space="preserve"> Manufacturing and supply chain show highest cost reduction potential but lowest agent adoption</w:t>
      </w:r>
    </w:p>
    <w:p>
      <w:pPr>
        <w:pStyle w:val="ListBullet"/>
        <w:spacing w:after="60"/>
        <w:ind w:left="720"/>
      </w:pPr>
      <w:r>
        <w:rPr>
          <w:color w:val="2D2D2D"/>
          <w:sz w:val="21"/>
        </w:rPr>
      </w:r>
      <w:r>
        <w:rPr>
          <w:b/>
          <w:color w:val="1A3C6E"/>
          <w:sz w:val="21"/>
        </w:rPr>
        <w:t>Target Segments:</w:t>
      </w:r>
      <w:r>
        <w:rPr>
          <w:color w:val="2D2D2D"/>
          <w:sz w:val="21"/>
        </w:rPr>
        <w:t xml:space="preserve"> Manufacturing AI, supply chain optimization, construction and engineering AI, industrial AI agents</w:t>
      </w:r>
    </w:p>
    <w:p>
      <w:pPr>
        <w:pStyle w:val="ListBullet"/>
        <w:spacing w:after="60"/>
        <w:ind w:left="720"/>
      </w:pPr>
      <w:r>
        <w:rPr>
          <w:color w:val="2D2D2D"/>
          <w:sz w:val="21"/>
        </w:rPr>
      </w:r>
      <w:r>
        <w:rPr>
          <w:b/>
          <w:color w:val="1A3C6E"/>
          <w:sz w:val="21"/>
        </w:rPr>
        <w:t>Rationale:</w:t>
      </w:r>
      <w:r>
        <w:rPr>
          <w:color w:val="2D2D2D"/>
          <w:sz w:val="21"/>
        </w:rPr>
        <w:t xml:space="preserve"> Manufacturing, supply chain, and construction show </w:t>
      </w:r>
      <w:r>
        <w:rPr>
          <w:b/>
          <w:color w:val="1A3C6E"/>
          <w:sz w:val="21"/>
        </w:rPr>
        <w:t>&lt;10%</w:t>
      </w:r>
      <w:r>
        <w:rPr>
          <w:color w:val="2D2D2D"/>
          <w:sz w:val="21"/>
        </w:rPr>
        <w:t xml:space="preserve"> scaling — massive untapped opportunity</w:t>
      </w:r>
    </w:p>
    <w:p>
      <w:pPr>
        <w:spacing w:before="120" w:after="120"/>
        <w:pBdr>
          <w:bottom w:val="single" w:sz="6" w:space="1" w:color="2E86AB"/>
        </w:pBdr>
      </w:pPr>
    </w:p>
    <w:p>
      <w:pPr>
        <w:pStyle w:val="Heading1"/>
      </w:pPr>
      <w:r>
        <w:t>6. Risk Factors</w:t>
      </w:r>
    </w:p>
    <w:tbl>
      <w:tblPr>
        <w:tblStyle w:val="TableGrid"/>
        <w:tblW w:type="auto" w:w="0"/>
        <w:tblLook w:firstColumn="1" w:firstRow="1" w:lastColumn="0" w:lastRow="0" w:noHBand="0" w:noVBand="1" w:val="04A0"/>
      </w:tblPr>
      <w:tblGrid>
        <w:gridCol w:w="3135"/>
        <w:gridCol w:w="3135"/>
        <w:gridCol w:w="3135"/>
      </w:tblGrid>
      <w:tr>
        <w:tc>
          <w:tcPr>
            <w:tcW w:type="dxa" w:w="3135"/>
            <w:shd w:fill="1A3C6E" w:val="clear"/>
          </w:tcPr>
          <w:p>
            <w:r/>
            <w:r>
              <w:rPr>
                <w:rFonts w:ascii="Calibri" w:hAnsi="Calibri"/>
                <w:b/>
                <w:color w:val="FFFFFF"/>
                <w:sz w:val="19"/>
              </w:rPr>
              <w:t>Risk</w:t>
            </w:r>
          </w:p>
        </w:tc>
        <w:tc>
          <w:tcPr>
            <w:tcW w:type="dxa" w:w="3135"/>
            <w:shd w:fill="1A3C6E" w:val="clear"/>
          </w:tcPr>
          <w:p>
            <w:r/>
            <w:r>
              <w:rPr>
                <w:rFonts w:ascii="Calibri" w:hAnsi="Calibri"/>
                <w:b/>
                <w:color w:val="FFFFFF"/>
                <w:sz w:val="19"/>
              </w:rPr>
              <w:t>Severity</w:t>
            </w:r>
          </w:p>
        </w:tc>
        <w:tc>
          <w:tcPr>
            <w:tcW w:type="dxa" w:w="3135"/>
            <w:shd w:fill="1A3C6E" w:val="clear"/>
          </w:tcPr>
          <w:p>
            <w:r/>
            <w:r>
              <w:rPr>
                <w:rFonts w:ascii="Calibri" w:hAnsi="Calibri"/>
                <w:b/>
                <w:color w:val="FFFFFF"/>
                <w:sz w:val="19"/>
              </w:rPr>
              <w:t>Key Issue</w:t>
            </w:r>
          </w:p>
        </w:tc>
      </w:tr>
      <w:tr>
        <w:tc>
          <w:tcPr>
            <w:tcW w:type="dxa" w:w="3135"/>
          </w:tcPr>
          <w:p>
            <w:r/>
            <w:r>
              <w:rPr>
                <w:rFonts w:ascii="Calibri" w:hAnsi="Calibri"/>
                <w:color w:val="2D2D2D"/>
                <w:sz w:val="19"/>
              </w:rPr>
              <w:t>AI Implementation Value Gap</w:t>
            </w:r>
          </w:p>
        </w:tc>
        <w:tc>
          <w:tcPr>
            <w:tcW w:type="dxa" w:w="3135"/>
          </w:tcPr>
          <w:p>
            <w:r/>
            <w:r>
              <w:rPr>
                <w:rFonts w:ascii="Calibri" w:hAnsi="Calibri"/>
                <w:color w:val="2D2D2D"/>
                <w:sz w:val="19"/>
              </w:rPr>
              <w:t>High</w:t>
            </w:r>
          </w:p>
        </w:tc>
        <w:tc>
          <w:tcPr>
            <w:tcW w:type="dxa" w:w="3135"/>
          </w:tcPr>
          <w:p>
            <w:r/>
            <w:r>
              <w:rPr>
                <w:rFonts w:ascii="Calibri" w:hAnsi="Calibri"/>
                <w:color w:val="2D2D2D"/>
                <w:sz w:val="19"/>
              </w:rPr>
              <w:t>65% not scaling; only 6% achieve &gt;5% EBIT — many investments may not deliver returns</w:t>
            </w:r>
          </w:p>
        </w:tc>
      </w:tr>
      <w:tr>
        <w:tc>
          <w:tcPr>
            <w:tcW w:type="dxa" w:w="3135"/>
            <w:shd w:fill="EBF5FB" w:val="clear"/>
          </w:tcPr>
          <w:p>
            <w:r/>
            <w:r>
              <w:rPr>
                <w:rFonts w:ascii="Calibri" w:hAnsi="Calibri"/>
                <w:color w:val="2D2D2D"/>
                <w:sz w:val="19"/>
              </w:rPr>
              <w:t>Workforce Displacement &amp; Talent Shortage</w:t>
            </w:r>
          </w:p>
        </w:tc>
        <w:tc>
          <w:tcPr>
            <w:tcW w:type="dxa" w:w="3135"/>
            <w:shd w:fill="EBF5FB" w:val="clear"/>
          </w:tcPr>
          <w:p>
            <w:r/>
            <w:r>
              <w:rPr>
                <w:rFonts w:ascii="Calibri" w:hAnsi="Calibri"/>
                <w:color w:val="2D2D2D"/>
                <w:sz w:val="19"/>
              </w:rPr>
              <w:t>High</w:t>
            </w:r>
          </w:p>
        </w:tc>
        <w:tc>
          <w:tcPr>
            <w:tcW w:type="dxa" w:w="3135"/>
            <w:shd w:fill="EBF5FB" w:val="clear"/>
          </w:tcPr>
          <w:p>
            <w:r/>
            <w:r>
              <w:rPr>
                <w:rFonts w:ascii="Calibri" w:hAnsi="Calibri"/>
                <w:color w:val="2D2D2D"/>
                <w:sz w:val="19"/>
              </w:rPr>
              <w:t>32% expect workforce reductions; critical shortages in software engineers, data engineers, ML engineers</w:t>
            </w:r>
          </w:p>
        </w:tc>
      </w:tr>
      <w:tr>
        <w:tc>
          <w:tcPr>
            <w:tcW w:type="dxa" w:w="3135"/>
          </w:tcPr>
          <w:p>
            <w:r/>
            <w:r>
              <w:rPr>
                <w:rFonts w:ascii="Calibri" w:hAnsi="Calibri"/>
                <w:color w:val="2D2D2D"/>
                <w:sz w:val="19"/>
              </w:rPr>
              <w:t>AI Accuracy &amp; Reliability Risks</w:t>
            </w:r>
          </w:p>
        </w:tc>
        <w:tc>
          <w:tcPr>
            <w:tcW w:type="dxa" w:w="3135"/>
          </w:tcPr>
          <w:p>
            <w:r/>
            <w:r>
              <w:rPr>
                <w:rFonts w:ascii="Calibri" w:hAnsi="Calibri"/>
                <w:color w:val="2D2D2D"/>
                <w:sz w:val="19"/>
              </w:rPr>
              <w:t>Medium</w:t>
            </w:r>
          </w:p>
        </w:tc>
        <w:tc>
          <w:tcPr>
            <w:tcW w:type="dxa" w:w="3135"/>
          </w:tcPr>
          <w:p>
            <w:r/>
            <w:r>
              <w:rPr>
                <w:rFonts w:ascii="Calibri" w:hAnsi="Calibri"/>
                <w:color w:val="2D2D2D"/>
                <w:sz w:val="19"/>
              </w:rPr>
              <w:t>30% experienced AI inaccuracy — undermines trust, limits autonomous deployment potential</w:t>
            </w:r>
          </w:p>
        </w:tc>
      </w:tr>
      <w:tr>
        <w:tc>
          <w:tcPr>
            <w:tcW w:type="dxa" w:w="3135"/>
            <w:shd w:fill="EBF5FB" w:val="clear"/>
          </w:tcPr>
          <w:p>
            <w:r/>
            <w:r>
              <w:rPr>
                <w:rFonts w:ascii="Calibri" w:hAnsi="Calibri"/>
                <w:color w:val="2D2D2D"/>
                <w:sz w:val="19"/>
              </w:rPr>
              <w:t>Scaling Execution Challenge</w:t>
            </w:r>
          </w:p>
        </w:tc>
        <w:tc>
          <w:tcPr>
            <w:tcW w:type="dxa" w:w="3135"/>
            <w:shd w:fill="EBF5FB" w:val="clear"/>
          </w:tcPr>
          <w:p>
            <w:r/>
            <w:r>
              <w:rPr>
                <w:rFonts w:ascii="Calibri" w:hAnsi="Calibri"/>
                <w:color w:val="2D2D2D"/>
                <w:sz w:val="19"/>
              </w:rPr>
              <w:t>Medium</w:t>
            </w:r>
          </w:p>
        </w:tc>
        <w:tc>
          <w:tcPr>
            <w:tcW w:type="dxa" w:w="3135"/>
            <w:shd w:fill="EBF5FB" w:val="clear"/>
          </w:tcPr>
          <w:p>
            <w:r/>
            <w:r>
              <w:rPr>
                <w:rFonts w:ascii="Calibri" w:hAnsi="Calibri"/>
                <w:color w:val="2D2D2D"/>
                <w:sz w:val="19"/>
              </w:rPr>
              <w:t>50% of $5B+ companies scaled vs. 29% of &lt;$100M — smaller companies face resource constraints</w:t>
            </w:r>
          </w:p>
        </w:tc>
      </w:tr>
      <w:tr>
        <w:tc>
          <w:tcPr>
            <w:tcW w:type="dxa" w:w="3135"/>
          </w:tcPr>
          <w:p>
            <w:r/>
            <w:r>
              <w:rPr>
                <w:rFonts w:ascii="Calibri" w:hAnsi="Calibri"/>
                <w:color w:val="2D2D2D"/>
                <w:sz w:val="19"/>
              </w:rPr>
              <w:t>Regulatory &amp; Compliance Uncertainty</w:t>
            </w:r>
          </w:p>
        </w:tc>
        <w:tc>
          <w:tcPr>
            <w:tcW w:type="dxa" w:w="3135"/>
          </w:tcPr>
          <w:p>
            <w:r/>
            <w:r>
              <w:rPr>
                <w:rFonts w:ascii="Calibri" w:hAnsi="Calibri"/>
                <w:color w:val="2D2D2D"/>
                <w:sz w:val="19"/>
              </w:rPr>
              <w:t>Medium</w:t>
            </w:r>
          </w:p>
        </w:tc>
        <w:tc>
          <w:tcPr>
            <w:tcW w:type="dxa" w:w="3135"/>
          </w:tcPr>
          <w:p>
            <w:r/>
            <w:r>
              <w:rPr>
                <w:rFonts w:ascii="Calibri" w:hAnsi="Calibri"/>
                <w:color w:val="2D2D2D"/>
                <w:sz w:val="19"/>
              </w:rPr>
              <w:t>High performers face more regulatory and IP infringement challenges given ambitious deployments</w:t>
            </w:r>
          </w:p>
        </w:tc>
      </w:tr>
    </w:tbl>
    <w:p/>
    <w:p>
      <w:pPr>
        <w:spacing w:before="120" w:after="120"/>
        <w:pBdr>
          <w:bottom w:val="single" w:sz="6" w:space="1" w:color="2E86AB"/>
        </w:pBdr>
      </w:pPr>
    </w:p>
    <w:p>
      <w:pPr>
        <w:pStyle w:val="Heading1"/>
      </w:pPr>
      <w:r>
        <w:t>7. Competitive Moat Indicators</w:t>
      </w:r>
    </w:p>
    <w:p>
      <w:pPr>
        <w:pStyle w:val="ListBullet"/>
        <w:spacing w:after="60"/>
        <w:ind w:left="720"/>
      </w:pPr>
      <w:r>
        <w:rPr>
          <w:color w:val="2D2D2D"/>
          <w:sz w:val="21"/>
        </w:rPr>
      </w:r>
      <w:r>
        <w:rPr>
          <w:b/>
          <w:color w:val="1A3C6E"/>
          <w:sz w:val="21"/>
        </w:rPr>
        <w:t>Scaling Expertise:</w:t>
      </w:r>
      <w:r>
        <w:rPr>
          <w:color w:val="2D2D2D"/>
          <w:sz w:val="21"/>
        </w:rPr>
        <w:t xml:space="preserve"> Proven ability to move beyond pilots to enterprise-wide deployment</w:t>
      </w:r>
    </w:p>
    <w:p>
      <w:pPr>
        <w:pStyle w:val="ListBullet"/>
        <w:spacing w:after="60"/>
        <w:ind w:left="720"/>
      </w:pPr>
      <w:r>
        <w:rPr>
          <w:color w:val="2D2D2D"/>
          <w:sz w:val="21"/>
        </w:rPr>
      </w:r>
      <w:r>
        <w:rPr>
          <w:b/>
          <w:color w:val="1A3C6E"/>
          <w:sz w:val="21"/>
        </w:rPr>
        <w:t>Agentic Architecture:</w:t>
      </w:r>
      <w:r>
        <w:rPr>
          <w:color w:val="2D2D2D"/>
          <w:sz w:val="21"/>
        </w:rPr>
        <w:t xml:space="preserve"> Proprietary platforms enabling multi-step workflow automation and planning</w:t>
      </w:r>
    </w:p>
    <w:p>
      <w:pPr>
        <w:pStyle w:val="ListBullet"/>
        <w:spacing w:after="60"/>
        <w:ind w:left="720"/>
      </w:pPr>
      <w:r>
        <w:rPr>
          <w:color w:val="2D2D2D"/>
          <w:sz w:val="21"/>
        </w:rPr>
      </w:r>
      <w:r>
        <w:rPr>
          <w:b/>
          <w:color w:val="1A3C6E"/>
          <w:sz w:val="21"/>
        </w:rPr>
        <w:t>Vertical Domain Knowledge:</w:t>
      </w:r>
      <w:r>
        <w:rPr>
          <w:color w:val="2D2D2D"/>
          <w:sz w:val="21"/>
        </w:rPr>
        <w:t xml:space="preserve"> Deep expertise in underpenetrated sectors (manufacturing, supply chain, construction)</w:t>
      </w:r>
    </w:p>
    <w:p>
      <w:pPr>
        <w:pStyle w:val="ListBullet"/>
        <w:spacing w:after="60"/>
        <w:ind w:left="720"/>
      </w:pPr>
      <w:r>
        <w:rPr>
          <w:color w:val="2D2D2D"/>
          <w:sz w:val="21"/>
        </w:rPr>
      </w:r>
      <w:r>
        <w:rPr>
          <w:b/>
          <w:color w:val="1A3C6E"/>
          <w:sz w:val="21"/>
        </w:rPr>
        <w:t>Governance Stack:</w:t>
      </w:r>
      <w:r>
        <w:rPr>
          <w:color w:val="2D2D2D"/>
          <w:sz w:val="21"/>
        </w:rPr>
        <w:t xml:space="preserve"> Integrated risk mitigation, accuracy assurance, and compliance solutions</w:t>
      </w:r>
    </w:p>
    <w:p>
      <w:pPr>
        <w:pStyle w:val="ListBullet"/>
        <w:spacing w:after="60"/>
        <w:ind w:left="720"/>
      </w:pPr>
      <w:r>
        <w:rPr>
          <w:color w:val="2D2D2D"/>
          <w:sz w:val="21"/>
        </w:rPr>
      </w:r>
      <w:r>
        <w:rPr>
          <w:b/>
          <w:color w:val="1A3C6E"/>
          <w:sz w:val="21"/>
        </w:rPr>
        <w:t>Workflow Redesign Capability:</w:t>
      </w:r>
      <w:r>
        <w:rPr>
          <w:color w:val="2D2D2D"/>
          <w:sz w:val="21"/>
        </w:rPr>
        <w:t xml:space="preserve"> Ability to fundamentally transform processes, not just automate existing ones</w:t>
      </w:r>
    </w:p>
    <w:p>
      <w:pPr>
        <w:pStyle w:val="ListBullet"/>
        <w:spacing w:after="60"/>
        <w:ind w:left="720"/>
      </w:pPr>
      <w:r>
        <w:rPr>
          <w:color w:val="2D2D2D"/>
          <w:sz w:val="21"/>
        </w:rPr>
      </w:r>
      <w:r>
        <w:rPr>
          <w:b/>
          <w:color w:val="1A3C6E"/>
          <w:sz w:val="21"/>
        </w:rPr>
        <w:t>Talent Pipeline:</w:t>
      </w:r>
      <w:r>
        <w:rPr>
          <w:color w:val="2D2D2D"/>
          <w:sz w:val="21"/>
        </w:rPr>
        <w:t xml:space="preserve"> Access to scarce AI/ML engineering talent through upskilling or partnerships</w:t>
      </w:r>
    </w:p>
    <w:p>
      <w:pPr>
        <w:spacing w:before="120" w:after="120"/>
        <w:pBdr>
          <w:bottom w:val="single" w:sz="6" w:space="1" w:color="2E86AB"/>
        </w:pBdr>
      </w:pPr>
    </w:p>
    <w:p>
      <w:pPr>
        <w:pStyle w:val="Heading1"/>
      </w:pPr>
      <w:r>
        <w:t>8. Due Diligence Focus Areas</w:t>
      </w:r>
    </w:p>
    <w:p>
      <w:pPr>
        <w:pStyle w:val="ListNumber"/>
      </w:pPr>
      <w:r/>
      <w:r>
        <w:rPr>
          <w:b/>
          <w:color w:val="1A3C6E"/>
        </w:rPr>
        <w:t>Scaling Track Record:</w:t>
      </w:r>
      <w:r>
        <w:t xml:space="preserve"> Verify specific examples of enterprise-wide AI deployment across multiple functions</w:t>
      </w:r>
    </w:p>
    <w:p>
      <w:pPr>
        <w:pStyle w:val="ListNumber"/>
      </w:pPr>
      <w:r/>
      <w:r>
        <w:rPr>
          <w:b/>
          <w:color w:val="1A3C6E"/>
        </w:rPr>
        <w:t>Agentic Differentiation:</w:t>
      </w:r>
      <w:r>
        <w:t xml:space="preserve"> Assess technical capability for multi-step planning and autonomous workflow execution</w:t>
      </w:r>
    </w:p>
    <w:p>
      <w:pPr>
        <w:pStyle w:val="ListNumber"/>
      </w:pPr>
      <w:r/>
      <w:r>
        <w:rPr>
          <w:b/>
          <w:color w:val="1A3C6E"/>
        </w:rPr>
        <w:t>Customer Value Realization:</w:t>
      </w:r>
      <w:r>
        <w:t xml:space="preserve"> Validate customer testimonials on EBIT impact, not just adoption metrics</w:t>
      </w:r>
    </w:p>
    <w:p>
      <w:pPr>
        <w:pStyle w:val="ListNumber"/>
      </w:pPr>
      <w:r/>
      <w:r>
        <w:rPr>
          <w:b/>
          <w:color w:val="1A3C6E"/>
        </w:rPr>
        <w:t>Workflow Transformation Methodology:</w:t>
      </w:r>
      <w:r>
        <w:t xml:space="preserve"> Evaluate approach to process redesign vs. incremental automation</w:t>
      </w:r>
    </w:p>
    <w:p>
      <w:pPr>
        <w:pStyle w:val="ListNumber"/>
      </w:pPr>
      <w:r/>
      <w:r>
        <w:rPr>
          <w:b/>
          <w:color w:val="1A3C6E"/>
        </w:rPr>
        <w:t>Governance &amp; Reliability:</w:t>
      </w:r>
      <w:r>
        <w:t xml:space="preserve"> Review accuracy rates, human-in-the-loop processes, and risk mitigation frameworks</w:t>
      </w:r>
    </w:p>
    <w:p>
      <w:pPr>
        <w:pStyle w:val="ListNumber"/>
      </w:pPr>
      <w:r/>
      <w:r>
        <w:rPr>
          <w:b/>
          <w:color w:val="1A3C6E"/>
        </w:rPr>
        <w:t>Vertical Market Penetration:</w:t>
      </w:r>
      <w:r>
        <w:t xml:space="preserve"> Analyze traction in underpenetrated sectors (manufacturing, supply chain)</w:t>
      </w:r>
    </w:p>
    <w:p>
      <w:pPr>
        <w:pStyle w:val="ListNumber"/>
      </w:pPr>
      <w:r/>
      <w:r>
        <w:rPr>
          <w:b/>
          <w:color w:val="1A3C6E"/>
        </w:rPr>
        <w:t>Leadership Commitment:</w:t>
      </w:r>
      <w:r>
        <w:t xml:space="preserve"> Assess C-suite ownership and transformative ambition beyond efficiency</w:t>
      </w:r>
    </w:p>
    <w:p>
      <w:pPr>
        <w:pStyle w:val="ListNumber"/>
      </w:pPr>
      <w:r/>
      <w:r>
        <w:rPr>
          <w:b/>
          <w:color w:val="1A3C6E"/>
        </w:rPr>
        <w:t>Talent Strategy:</w:t>
      </w:r>
      <w:r>
        <w:t xml:space="preserve"> Examine hiring, retention, and upskilling programs for scarce AI/ML talent</w:t>
      </w:r>
    </w:p>
    <w:p>
      <w:pPr>
        <w:spacing w:before="120" w:after="120"/>
        <w:pBdr>
          <w:bottom w:val="single" w:sz="6" w:space="1" w:color="2E86AB"/>
        </w:pBdr>
      </w:pPr>
    </w:p>
    <w:p>
      <w:pPr>
        <w:pStyle w:val="Heading1"/>
      </w:pPr>
      <w:r>
        <w:t>9. Investment Thesis</w:t>
      </w:r>
    </w:p>
    <w:p>
      <w:r>
        <w:t xml:space="preserve">The AI market presents a compelling asymmetric opportunity: while </w:t>
      </w:r>
      <w:r>
        <w:rPr>
          <w:b/>
        </w:rPr>
        <w:t>88%</w:t>
      </w:r>
      <w:r>
        <w:t xml:space="preserve"> of organizations have adopted AI, only </w:t>
      </w:r>
      <w:r>
        <w:rPr>
          <w:b/>
        </w:rPr>
        <w:t>6%</w:t>
      </w:r>
      <w:r>
        <w:t xml:space="preserve"> achieve meaningful enterprise value, creating a massive gap between experimentation and scaled deployment. We invest in companies positioned to bridge this divide — specifically those providing </w:t>
      </w:r>
      <w:r>
        <w:rPr>
          <w:b/>
        </w:rPr>
        <w:t>agentic AI platforms</w:t>
      </w:r>
      <w:r>
        <w:t xml:space="preserve">, </w:t>
      </w:r>
      <w:r>
        <w:rPr>
          <w:b/>
        </w:rPr>
        <w:t>enterprise scaling infrastructure</w:t>
      </w:r>
      <w:r>
        <w:t xml:space="preserve">, and </w:t>
      </w:r>
      <w:r>
        <w:rPr>
          <w:b/>
        </w:rPr>
        <w:t>vertical solutions for underpenetrated sectors</w:t>
      </w:r>
      <w:r>
        <w:t xml:space="preserve"> (manufacturing, supply chain) where &lt;10% currently scale agents. The </w:t>
      </w:r>
      <w:r>
        <w:rPr>
          <w:b/>
        </w:rPr>
        <w:t>62% experimentation rate</w:t>
      </w:r>
      <w:r>
        <w:t xml:space="preserve"> for AI agents with only </w:t>
      </w:r>
      <w:r>
        <w:rPr>
          <w:b/>
        </w:rPr>
        <w:t>23%</w:t>
      </w:r>
      <w:r>
        <w:t xml:space="preserve"> scaling indicates a multi-year growth runway, while the </w:t>
      </w:r>
      <w:r>
        <w:rPr>
          <w:b/>
        </w:rPr>
        <w:t>51%</w:t>
      </w:r>
      <w:r>
        <w:t xml:space="preserve"> experiencing negative consequences creates demand for governance and accuracy solutions. Companies that combine </w:t>
      </w:r>
      <w:r>
        <w:rPr>
          <w:b/>
        </w:rPr>
        <w:t>workflow transformation capabilities</w:t>
      </w:r>
      <w:r>
        <w:t xml:space="preserve"> with </w:t>
      </w:r>
      <w:r>
        <w:rPr>
          <w:b/>
        </w:rPr>
        <w:t>strong governance stacks</w:t>
      </w:r>
      <w:r>
        <w:t xml:space="preserve"> and target </w:t>
      </w:r>
      <w:r>
        <w:rPr>
          <w:b/>
        </w:rPr>
        <w:t>underserved verticals</w:t>
      </w:r>
      <w:r>
        <w:t xml:space="preserve"> will capture disproportionate value as the market matures from pilots to enterprise-wide deployment.</w:t>
      </w:r>
    </w:p>
    <w:p>
      <w:pPr>
        <w:spacing w:before="120" w:after="120"/>
        <w:pBdr>
          <w:bottom w:val="single" w:sz="6" w:space="1" w:color="2E86AB"/>
        </w:pBdr>
      </w:pPr>
    </w:p>
    <w:p>
      <w:pPr>
        <w:pStyle w:val="Heading1"/>
      </w:pPr>
      <w:r>
        <w:t>10. Signal Strength</w:t>
      </w:r>
    </w:p>
    <w:p>
      <w:r>
        <w:rPr>
          <w:b/>
          <w:color w:val="5A5A5A"/>
          <w:sz w:val="22"/>
        </w:rPr>
        <w:t xml:space="preserve">Rating: </w:t>
      </w:r>
      <w:r>
        <w:rPr>
          <w:color w:val="2D2D2D"/>
          <w:sz w:val="22"/>
        </w:rPr>
        <w:t>9/10</w:t>
      </w:r>
    </w:p>
    <w:p>
      <w:r>
        <w:rPr>
          <w:b/>
          <w:color w:val="5A5A5A"/>
          <w:sz w:val="22"/>
        </w:rPr>
        <w:t xml:space="preserve">Justification: </w:t>
      </w:r>
      <w:r>
        <w:rPr>
          <w:color w:val="2D2D2D"/>
          <w:sz w:val="22"/>
        </w:rPr>
        <w:t>This McKinsey survey represents the most comprehensive and current assessment of enterprise AI adoption, with **1,993 respondents across 105 nations**, conducted June-July 2025. Key strengths include: (1) Large, global, multi-industry sample providing statistically robust insights; (2) Longitudinal data enabling year-over-year trend analysis since 2017; (3) Specific metrics on scaling phases, agent adoption, EBIT impact, and workforce effects; (4) Clear identification of high performer characteristics providing actionable differentiation signals; (5) Recent publication date ensuring maximum relevance. The data reveals a clear investment thesis: while adoption is nearly universal, value capture remains concentrated among a small elite (6%), creating significant opportunities for investors to identify companies with the capabilities to scale beyond pilots. The agentic AI trend (**62%** experimenting, **23%** scaling) represents a particularly timely signal given the early stage of this technology wave. The risk signals (**51%** experiencing negative consequences, **32%** expecting workforce reductions) are also valuable for assessing downside scenarios.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86A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