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Пример проектирования RESTful API на Python для управления беспилотными летательными аппаратами (БПЛА):</w:t>
      </w: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from flask import Flask, request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import drone_control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app = Flask(__name__)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@app.route('/drones', methods=['GET'])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def get_drones():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return {"drones": drone_control.get_drones()}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@app.route('/drones', methods=['POST'])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def create_drone():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drone_data = request.json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drone = drone_control.create_drone(drone_data)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return drone.serialize(), 201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@app.route('/drones/&lt;id&gt;', methods=['GET'])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def get_drone(id):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drone = drone_control.get_drone(id)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return drone.serialize()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@app.route('/drones/&lt;id&gt;', methods=['PUT'])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def update_drone(id):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drone_data = request.json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drone = drone_control.update_drone(id, drone_data)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return drone.serialize(),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@app.route('/drones/&lt;id&gt;/telemetry', methods=['GET'])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def get_telemetry(id):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telemetry = drone_control.get_telemetry(id)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return {"telemetry": telemetry}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@app.route('/drones/&lt;id&gt;/commands', methods=['POST'])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def execute_command(id):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command = request.json['command']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result = drone_control.execute_command(id, command)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return {"result": result}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Основные принципы: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Ресурсы имеют пути вида /drones, /drones/id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Используются глаголы HTTP методов - GET, POST, PUT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Данные передаются в JSON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Статус коды отражают результат операции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Это позволяет построить понятный и масштабируемый API для управления БПЛА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2024-01-25T10:52:43Z</dcterms:modified>
</cp:coreProperties>
</file>