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作业要求：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请将上次课上讲到的卷积神经网路框架进行详细的学习，主要包括三个必选框架</w:t>
      </w:r>
      <w:r>
        <w:rPr>
          <w:rFonts w:hint="eastAsia"/>
          <w:sz w:val="28"/>
          <w:szCs w:val="36"/>
        </w:rPr>
        <w:t>LeNet, AlexNet, VGG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和一个可选网络框架（从NIN，GoogleNet，ResNet三个网络框架中选择一种）</w:t>
      </w:r>
      <w:r>
        <w:rPr>
          <w:rFonts w:hint="eastAsia"/>
          <w:sz w:val="28"/>
          <w:szCs w:val="36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对于每种框架，需要涉及的内容包括：以LeNet为例，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LeNet提出的背景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LeNet框架的构成，包括每一层的设置，上一层到下一层的参数计算等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LeNet可以用在哪些应用中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是否有尝试利用该框架做实验，实验结果如何？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LeNet框架的优缺点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.......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请形成文档，文档的格式要求：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字体：宋体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字号：五号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行距：1.2倍行距</w:t>
      </w:r>
    </w:p>
    <w:p>
      <w:pPr>
        <w:numPr>
          <w:ilvl w:val="1"/>
          <w:numId w:val="1"/>
        </w:numPr>
        <w:ind w:left="840" w:leftChars="0" w:hanging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其他格式请根据具体情况设置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文档命名方式：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"mailto:\“创新实践2-作业1-CNN流行框架总结-姓名.doc/docx/pdf\”。发送到邮箱zhusuguo@163.com。"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36"/>
          <w:lang w:val="en-US" w:eastAsia="zh-CN"/>
        </w:rPr>
        <w:t>“创新实践2-作业1-CNN流行框架总结-姓名.doc/docx/pdf”。提交到QQ群文件</w:t>
      </w:r>
      <w:bookmarkStart w:id="0" w:name="_GoBack"/>
      <w:bookmarkEnd w:id="0"/>
      <w:r>
        <w:rPr>
          <w:rStyle w:val="4"/>
          <w:rFonts w:hint="eastAsia"/>
          <w:sz w:val="28"/>
          <w:szCs w:val="36"/>
          <w:lang w:val="en-US" w:eastAsia="zh-CN"/>
        </w:rPr>
        <w:t>。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作业提交截止时间：2020.3.22晚20:00.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AB5DC"/>
    <w:multiLevelType w:val="multilevel"/>
    <w:tmpl w:val="C88AB5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82E9D"/>
    <w:rsid w:val="5A8252A0"/>
    <w:rsid w:val="5ED1557D"/>
    <w:rsid w:val="6DB8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zhusu</dc:creator>
  <cp:lastModifiedBy>WALL-E◎哈密瓜</cp:lastModifiedBy>
  <dcterms:modified xsi:type="dcterms:W3CDTF">2020-03-12T05:44:54Z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