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w:t>
      </w:r>
      <w:r>
        <w:rPr>
          <w:rFonts w:hint="eastAsia" w:ascii="Times New Roman" w:hAnsi="Times New Roman" w:cs="Times New Roman"/>
          <w:sz w:val="24"/>
          <w:szCs w:val="24"/>
          <w:lang w:val="en-US" w:eastAsia="zh-CN"/>
        </w:rPr>
        <w:t xml:space="preserve"> member</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 the only member of my group.</w:t>
      </w:r>
    </w:p>
    <w:p>
      <w:pPr>
        <w:numPr>
          <w:ilvl w:val="0"/>
          <w:numId w:val="0"/>
        </w:numPr>
        <w:rPr>
          <w:rFonts w:hint="default" w:ascii="Times New Roman" w:hAnsi="Times New Roman" w:cs="Times New Roman"/>
          <w:sz w:val="24"/>
          <w:szCs w:val="24"/>
          <w:lang w:val="en-US" w:eastAsia="zh-CN"/>
        </w:rPr>
      </w:pPr>
    </w:p>
    <w:p>
      <w:pPr>
        <w:numPr>
          <w:ilvl w:val="0"/>
          <w:numId w:val="1"/>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Implementation of unsigned column average</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 integer truncation to divide unsigned numbers. Integer truncation is a simple division algorithm that calculates the quotient by iteratively subtracting the divisor and truncating the result to an integer part.The code is in the image below.</w:t>
      </w:r>
    </w:p>
    <w:p>
      <w:pPr>
        <w:numPr>
          <w:ilvl w:val="0"/>
          <w:numId w:val="0"/>
        </w:numPr>
        <w:jc w:val="center"/>
        <w:rPr>
          <w:sz w:val="24"/>
          <w:szCs w:val="24"/>
        </w:rPr>
      </w:pPr>
      <w:r>
        <w:rPr>
          <w:sz w:val="24"/>
          <w:szCs w:val="24"/>
        </w:rPr>
        <w:drawing>
          <wp:inline distT="0" distB="0" distL="114300" distR="114300">
            <wp:extent cx="5029200" cy="1835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9200" cy="1835150"/>
                    </a:xfrm>
                    <a:prstGeom prst="rect">
                      <a:avLst/>
                    </a:prstGeom>
                    <a:noFill/>
                    <a:ln>
                      <a:noFill/>
                    </a:ln>
                  </pic:spPr>
                </pic:pic>
              </a:graphicData>
            </a:graphic>
          </wp:inline>
        </w:drawing>
      </w:r>
    </w:p>
    <w:p>
      <w:pPr>
        <w:numPr>
          <w:ilvl w:val="0"/>
          <w:numId w:val="0"/>
        </w:numPr>
        <w:jc w:val="both"/>
        <w:rPr>
          <w:sz w:val="24"/>
          <w:szCs w:val="24"/>
        </w:rPr>
      </w:pPr>
    </w:p>
    <w:p>
      <w:pPr>
        <w:numPr>
          <w:ilvl w:val="0"/>
          <w:numId w:val="1"/>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nalyses of performance</w:t>
      </w:r>
    </w:p>
    <w:p>
      <w:pPr>
        <w:numPr>
          <w:ilvl w:val="0"/>
          <w:numId w:val="2"/>
        </w:numPr>
        <w:ind w:leftChars="0"/>
        <w:rPr>
          <w:rFonts w:hint="default" w:ascii="Times New Roman" w:hAnsi="Times New Roman" w:cs="Times New Roman"/>
          <w:sz w:val="24"/>
          <w:szCs w:val="24"/>
          <w:lang w:val="en-US" w:eastAsia="zh-CN"/>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cs="Times New Roman"/>
          <w:sz w:val="24"/>
          <w:szCs w:val="24"/>
          <w:lang w:val="en-US" w:eastAsia="zh-CN"/>
        </w:rPr>
        <w:t xml:space="preserve">The data cache and program cache are all use Random replace policy,and data cache use write through-noallocate write back policy.Through my experiments I found that </w:t>
      </w:r>
      <w:r>
        <w:rPr>
          <w:rFonts w:hint="default" w:ascii="Times New Roman" w:hAnsi="Times New Roman" w:eastAsia="宋体" w:cs="Times New Roman"/>
          <w:color w:val="000000"/>
          <w:kern w:val="0"/>
          <w:sz w:val="24"/>
          <w:szCs w:val="24"/>
          <w:lang w:val="en-US" w:eastAsia="zh-CN" w:bidi="ar"/>
        </w:rPr>
        <w:t>implementations from Part1 and Part2</w:t>
      </w:r>
      <w:r>
        <w:rPr>
          <w:rFonts w:hint="eastAsia" w:ascii="Times New Roman" w:hAnsi="Times New Roman" w:eastAsia="宋体" w:cs="Times New Roman"/>
          <w:color w:val="000000"/>
          <w:kern w:val="0"/>
          <w:sz w:val="24"/>
          <w:szCs w:val="24"/>
          <w:lang w:val="en-US" w:eastAsia="zh-CN" w:bidi="ar"/>
        </w:rPr>
        <w:t xml:space="preserve"> have similar number of cycles and program cache miss rate,so their difference is depend on data cache miss rate.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719320" cy="2896235"/>
            <wp:effectExtent l="4445" t="4445" r="13335" b="76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As </w:t>
      </w:r>
      <w:r>
        <w:rPr>
          <w:rFonts w:hint="eastAsia" w:ascii="Times New Roman" w:hAnsi="Times New Roman" w:cs="Times New Roman"/>
          <w:sz w:val="24"/>
          <w:szCs w:val="24"/>
          <w:lang w:val="en-US" w:eastAsia="zh-CN"/>
        </w:rPr>
        <w:t>we</w:t>
      </w:r>
      <w:r>
        <w:rPr>
          <w:rFonts w:hint="default" w:ascii="Times New Roman" w:hAnsi="Times New Roman" w:cs="Times New Roman"/>
          <w:sz w:val="24"/>
          <w:szCs w:val="24"/>
          <w:lang w:val="en-US" w:eastAsia="zh-CN"/>
        </w:rPr>
        <w:t xml:space="preserve"> can see from the </w:t>
      </w:r>
      <w:r>
        <w:rPr>
          <w:rFonts w:hint="eastAsia" w:ascii="Times New Roman" w:hAnsi="Times New Roman" w:cs="Times New Roman"/>
          <w:sz w:val="24"/>
          <w:szCs w:val="24"/>
          <w:lang w:val="en-US" w:eastAsia="zh-CN"/>
        </w:rPr>
        <w:t>figure1</w:t>
      </w:r>
      <w:r>
        <w:rPr>
          <w:rFonts w:hint="default" w:ascii="Times New Roman" w:hAnsi="Times New Roman" w:cs="Times New Roman"/>
          <w:sz w:val="24"/>
          <w:szCs w:val="24"/>
          <w:lang w:val="en-US" w:eastAsia="zh-CN"/>
        </w:rPr>
        <w:t xml:space="preserve">, as the matrix size increases, the </w:t>
      </w:r>
      <w:r>
        <w:rPr>
          <w:rFonts w:hint="eastAsia" w:ascii="Times New Roman" w:hAnsi="Times New Roman" w:cs="Times New Roman"/>
          <w:sz w:val="24"/>
          <w:szCs w:val="24"/>
          <w:lang w:val="en-US" w:eastAsia="zh-CN"/>
        </w:rPr>
        <w:t>miss</w:t>
      </w:r>
      <w:r>
        <w:rPr>
          <w:rFonts w:hint="default" w:ascii="Times New Roman" w:hAnsi="Times New Roman" w:cs="Times New Roman"/>
          <w:sz w:val="24"/>
          <w:szCs w:val="24"/>
          <w:lang w:val="en-US" w:eastAsia="zh-CN"/>
        </w:rPr>
        <w:t xml:space="preserve"> rate of the </w:t>
      </w:r>
      <w:r>
        <w:rPr>
          <w:rFonts w:hint="eastAsia" w:ascii="Times New Roman" w:hAnsi="Times New Roman" w:cs="Times New Roman"/>
          <w:sz w:val="24"/>
          <w:szCs w:val="24"/>
          <w:lang w:val="en-US" w:eastAsia="zh-CN"/>
        </w:rPr>
        <w:t>Part1 implementation</w:t>
      </w:r>
      <w:r>
        <w:rPr>
          <w:rFonts w:hint="default" w:ascii="Times New Roman" w:hAnsi="Times New Roman" w:cs="Times New Roman"/>
          <w:sz w:val="24"/>
          <w:szCs w:val="24"/>
          <w:lang w:val="en-US" w:eastAsia="zh-CN"/>
        </w:rPr>
        <w:t xml:space="preserve"> is basically </w:t>
      </w:r>
      <w:r>
        <w:rPr>
          <w:rFonts w:hint="eastAsia" w:ascii="Times New Roman" w:hAnsi="Times New Roman" w:cs="Times New Roman"/>
          <w:sz w:val="24"/>
          <w:szCs w:val="24"/>
          <w:lang w:val="en-US" w:eastAsia="zh-CN"/>
        </w:rPr>
        <w:t>100%</w:t>
      </w:r>
      <w:r>
        <w:rPr>
          <w:rFonts w:hint="default" w:ascii="Times New Roman" w:hAnsi="Times New Roman" w:cs="Times New Roman"/>
          <w:sz w:val="24"/>
          <w:szCs w:val="24"/>
          <w:lang w:val="en-US" w:eastAsia="zh-CN"/>
        </w:rPr>
        <w:t xml:space="preserve">, which can be costly in terms of time, so I think the </w:t>
      </w:r>
      <w:r>
        <w:rPr>
          <w:rFonts w:hint="eastAsia" w:ascii="Times New Roman" w:hAnsi="Times New Roman" w:cs="Times New Roman"/>
          <w:sz w:val="24"/>
          <w:szCs w:val="24"/>
          <w:lang w:val="en-US" w:eastAsia="zh-CN"/>
        </w:rPr>
        <w:t>Part2 implementation</w:t>
      </w:r>
      <w:r>
        <w:rPr>
          <w:rFonts w:hint="default" w:ascii="Times New Roman" w:hAnsi="Times New Roman" w:cs="Times New Roman"/>
          <w:sz w:val="24"/>
          <w:szCs w:val="24"/>
          <w:lang w:val="en-US" w:eastAsia="zh-CN"/>
        </w:rPr>
        <w:t xml:space="preserve"> is better.</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 divu instruction just reduce the number of cycles,and it can accelerate program operation,it had same influence in both implementations.But the miss rate in both implementations had no change.So my conclusions don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t change. </w:t>
      </w:r>
    </w:p>
    <w:p>
      <w:pPr>
        <w:numPr>
          <w:ilvl w:val="0"/>
          <w:numId w:val="0"/>
        </w:numPr>
        <w:rPr>
          <w:rFonts w:hint="default"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 quadrupling the block size,quadrupling the associativity or doubling the block size and doubling the associativity,all these three situations don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change the number of cycles and program cache miss rate.So we only consider the data cache miss rate.</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Consider quadrupling the block size,we can see the miss rate in figure2.</w:t>
      </w: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863465" cy="2770505"/>
            <wp:effectExtent l="4445" t="5080" r="8890" b="57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rPr>
          <w:rFonts w:hint="default"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Consider quadrupling the associativity,we can see the miss rate in figure3.</w:t>
      </w: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846320" cy="2549525"/>
            <wp:effectExtent l="4445" t="4445" r="13335"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Consider doubling the block size and doubling the associativity,we can see the miss rate in figure4.</w:t>
      </w: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909820" cy="2700655"/>
            <wp:effectExtent l="4445" t="4445" r="13335" b="1270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rPr>
          <w:rFonts w:hint="eastAsia"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all three situations,the miss rate in part2 is less than or equal to that of the part1.So my conclusions don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change,</w:t>
      </w:r>
      <w:r>
        <w:rPr>
          <w:rFonts w:hint="default" w:ascii="Times New Roman" w:hAnsi="Times New Roman" w:cs="Times New Roman"/>
          <w:sz w:val="24"/>
          <w:szCs w:val="24"/>
          <w:lang w:val="en-US" w:eastAsia="zh-CN"/>
        </w:rPr>
        <w:t xml:space="preserve">the </w:t>
      </w:r>
      <w:r>
        <w:rPr>
          <w:rFonts w:hint="eastAsia" w:ascii="Times New Roman" w:hAnsi="Times New Roman" w:cs="Times New Roman"/>
          <w:sz w:val="24"/>
          <w:szCs w:val="24"/>
          <w:lang w:val="en-US" w:eastAsia="zh-CN"/>
        </w:rPr>
        <w:t>Part2 implementation</w:t>
      </w:r>
      <w:r>
        <w:rPr>
          <w:rFonts w:hint="default" w:ascii="Times New Roman" w:hAnsi="Times New Roman" w:cs="Times New Roman"/>
          <w:sz w:val="24"/>
          <w:szCs w:val="24"/>
          <w:lang w:val="en-US" w:eastAsia="zh-CN"/>
        </w:rPr>
        <w:t xml:space="preserve"> is better.</w:t>
      </w:r>
    </w:p>
    <w:p>
      <w:pPr>
        <w:numPr>
          <w:ilvl w:val="0"/>
          <w:numId w:val="0"/>
        </w:numPr>
        <w:rPr>
          <w:rFonts w:hint="default"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can see the difference of miss date among different situations of part1 in figure5.We found all the three solutions to increase the size of the data cache can reduce the miss rate to varying degrees,but only useful in small matrix size,and quadrupling the block size can get the best results.</w:t>
      </w:r>
    </w:p>
    <w:p>
      <w:pPr>
        <w:numPr>
          <w:ilvl w:val="0"/>
          <w:numId w:val="0"/>
        </w:numPr>
        <w:jc w:val="both"/>
        <w:rPr>
          <w:rFonts w:hint="eastAsia"/>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562600" cy="3196590"/>
            <wp:effectExtent l="4445" t="4445" r="8255" b="1206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can see the difference of miss date among different situations of part2 in figure6.We found except for quadrupling the associativity,other two situations both can reduce the cache rate in all matrix size.</w:t>
      </w:r>
      <w:r>
        <w:rPr>
          <w:rFonts w:hint="default" w:ascii="Times New Roman" w:hAnsi="Times New Roman" w:cs="Times New Roman"/>
          <w:sz w:val="24"/>
          <w:szCs w:val="24"/>
          <w:lang w:val="en-US" w:eastAsia="zh-CN"/>
        </w:rPr>
        <w:t>After the above analysis, I think</w:t>
      </w:r>
      <w:r>
        <w:rPr>
          <w:rFonts w:hint="eastAsia" w:ascii="Times New Roman" w:hAnsi="Times New Roman" w:cs="Times New Roman"/>
          <w:sz w:val="24"/>
          <w:szCs w:val="24"/>
          <w:lang w:val="en-US" w:eastAsia="zh-CN"/>
        </w:rPr>
        <w:t xml:space="preserve"> the block size helps more than associativity.</w:t>
      </w:r>
    </w:p>
    <w:p>
      <w:pPr>
        <w:numPr>
          <w:ilvl w:val="0"/>
          <w:numId w:val="0"/>
        </w:numPr>
        <w:jc w:val="both"/>
        <w:rPr>
          <w:rFonts w:hint="default"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6034405" cy="3479165"/>
            <wp:effectExtent l="4445" t="4445" r="6350"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jc w:val="both"/>
        <w:rPr>
          <w:rFonts w:hint="default" w:ascii="Times New Roman" w:hAnsi="Times New Roman" w:cs="Times New Roman"/>
          <w:sz w:val="24"/>
          <w:szCs w:val="24"/>
          <w:lang w:val="en-US" w:eastAsia="zh-CN"/>
        </w:rPr>
      </w:pPr>
    </w:p>
    <w:p>
      <w:pPr>
        <w:keepNext w:val="0"/>
        <w:keepLines w:val="0"/>
        <w:widowControl/>
        <w:suppressLineNumbers w:val="0"/>
        <w:jc w:val="left"/>
      </w:pPr>
      <w:r>
        <w:rPr>
          <w:rFonts w:hint="eastAsia" w:ascii="Times New Roman" w:hAnsi="Times New Roman" w:cs="Times New Roman"/>
          <w:sz w:val="24"/>
          <w:szCs w:val="24"/>
          <w:lang w:val="en-US" w:eastAsia="zh-CN"/>
        </w:rPr>
        <w:t>4.</w:t>
      </w:r>
      <w:r>
        <w:rPr>
          <w:rFonts w:hint="default" w:ascii="Times New Roman" w:hAnsi="Times New Roman" w:eastAsia="宋体" w:cs="Times New Roman"/>
          <w:color w:val="000000"/>
          <w:kern w:val="0"/>
          <w:sz w:val="24"/>
          <w:szCs w:val="24"/>
          <w:lang w:val="en-US" w:eastAsia="zh-CN" w:bidi="ar"/>
        </w:rPr>
        <w:t>recommendation</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Because the cycles in part1 and part2 almost exactly the same,and change the data cache size will not change the cycles.So we only consider the cycles change in part1.We can see it in figure7.</w:t>
      </w:r>
    </w:p>
    <w:p>
      <w:pPr>
        <w:numPr>
          <w:ilvl w:val="0"/>
          <w:numId w:val="0"/>
        </w:numPr>
        <w:jc w:val="both"/>
        <w:rPr>
          <w:rFonts w:hint="default"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740400" cy="3128010"/>
            <wp:effectExtent l="4445" t="4445" r="8255" b="1714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widowControl/>
        <w:suppressLineNumbers w:val="0"/>
        <w:jc w:val="left"/>
      </w:pPr>
      <w:r>
        <w:rPr>
          <w:rFonts w:hint="default" w:ascii="Times New Roman" w:hAnsi="Times New Roman" w:cs="Times New Roman"/>
          <w:sz w:val="24"/>
          <w:szCs w:val="24"/>
          <w:lang w:val="en-US" w:eastAsia="zh-CN"/>
        </w:rPr>
        <w:t>We can see that the use of the di</w:t>
      </w:r>
      <w:r>
        <w:rPr>
          <w:rFonts w:hint="eastAsia" w:ascii="Times New Roman" w:hAnsi="Times New Roman" w:cs="Times New Roman"/>
          <w:sz w:val="24"/>
          <w:szCs w:val="24"/>
          <w:lang w:val="en-US" w:eastAsia="zh-CN"/>
        </w:rPr>
        <w:t>vu</w:t>
      </w:r>
      <w:r>
        <w:rPr>
          <w:rFonts w:hint="default" w:ascii="Times New Roman" w:hAnsi="Times New Roman" w:cs="Times New Roman"/>
          <w:sz w:val="24"/>
          <w:szCs w:val="24"/>
          <w:lang w:val="en-US" w:eastAsia="zh-CN"/>
        </w:rPr>
        <w:t xml:space="preserve"> instruction has a very limited effect on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reduction of the number of </w:t>
      </w:r>
      <w:r>
        <w:rPr>
          <w:rFonts w:hint="eastAsia" w:ascii="Times New Roman" w:hAnsi="Times New Roman" w:cs="Times New Roman"/>
          <w:sz w:val="24"/>
          <w:szCs w:val="24"/>
          <w:lang w:val="en-US" w:eastAsia="zh-CN"/>
        </w:rPr>
        <w:t>cycles</w:t>
      </w:r>
      <w:r>
        <w:rPr>
          <w:rFonts w:hint="default" w:ascii="Times New Roman" w:hAnsi="Times New Roman" w:cs="Times New Roman"/>
          <w:sz w:val="24"/>
          <w:szCs w:val="24"/>
          <w:lang w:val="en-US" w:eastAsia="zh-CN"/>
        </w:rPr>
        <w:t>, and this effect is essentially negligible</w:t>
      </w:r>
      <w:r>
        <w:rPr>
          <w:rFonts w:hint="eastAsia" w:ascii="Times New Roman" w:hAnsi="Times New Roman" w:cs="Times New Roman"/>
          <w:sz w:val="24"/>
          <w:szCs w:val="24"/>
          <w:lang w:val="en-US" w:eastAsia="zh-CN"/>
        </w:rPr>
        <w:t xml:space="preserve"> when matrix size is big.In contrast, increasing the data cache siz</w:t>
      </w:r>
      <w:bookmarkStart w:id="0" w:name="_GoBack"/>
      <w:bookmarkEnd w:id="0"/>
      <w:r>
        <w:rPr>
          <w:rFonts w:hint="eastAsia" w:ascii="Times New Roman" w:hAnsi="Times New Roman" w:cs="Times New Roman"/>
          <w:sz w:val="24"/>
          <w:szCs w:val="24"/>
          <w:lang w:val="en-US" w:eastAsia="zh-CN"/>
        </w:rPr>
        <w:t>e has a more significant impact.So i</w:t>
      </w:r>
      <w:r>
        <w:rPr>
          <w:rFonts w:hint="default" w:ascii="Times New Roman" w:hAnsi="Times New Roman" w:eastAsia="宋体" w:cs="Times New Roman"/>
          <w:color w:val="000000"/>
          <w:kern w:val="0"/>
          <w:sz w:val="24"/>
          <w:szCs w:val="24"/>
          <w:lang w:val="en-US" w:eastAsia="zh-CN" w:bidi="ar"/>
        </w:rPr>
        <w:t xml:space="preserve">f </w:t>
      </w:r>
      <w:r>
        <w:rPr>
          <w:rFonts w:hint="eastAsia" w:ascii="Times New Roman" w:hAnsi="Times New Roman" w:eastAsia="宋体" w:cs="Times New Roman"/>
          <w:color w:val="000000"/>
          <w:kern w:val="0"/>
          <w:sz w:val="24"/>
          <w:szCs w:val="24"/>
          <w:lang w:val="en-US" w:eastAsia="zh-CN" w:bidi="ar"/>
        </w:rPr>
        <w:t>i</w:t>
      </w:r>
      <w:r>
        <w:rPr>
          <w:rFonts w:hint="default" w:ascii="Times New Roman" w:hAnsi="Times New Roman" w:eastAsia="宋体" w:cs="Times New Roman"/>
          <w:color w:val="000000"/>
          <w:kern w:val="0"/>
          <w:sz w:val="24"/>
          <w:szCs w:val="24"/>
          <w:lang w:val="en-US" w:eastAsia="zh-CN" w:bidi="ar"/>
        </w:rPr>
        <w:t xml:space="preserve"> had to choose between implementing division in hardware and quadrupling the </w:t>
      </w:r>
    </w:p>
    <w:p>
      <w:pPr>
        <w:keepNext w:val="0"/>
        <w:keepLines w:val="0"/>
        <w:widowControl/>
        <w:suppressLineNumbers w:val="0"/>
        <w:jc w:val="left"/>
        <w:rPr>
          <w:rFonts w:hint="default"/>
          <w:lang w:val="en-US"/>
        </w:rPr>
      </w:pPr>
      <w:r>
        <w:rPr>
          <w:rFonts w:hint="default" w:ascii="Times New Roman" w:hAnsi="Times New Roman" w:eastAsia="宋体" w:cs="Times New Roman"/>
          <w:color w:val="000000"/>
          <w:kern w:val="0"/>
          <w:sz w:val="24"/>
          <w:szCs w:val="24"/>
          <w:lang w:val="en-US" w:eastAsia="zh-CN" w:bidi="ar"/>
        </w:rPr>
        <w:t>size of the data cache,</w:t>
      </w:r>
      <w:r>
        <w:rPr>
          <w:rFonts w:hint="eastAsia" w:ascii="Times New Roman" w:hAnsi="Times New Roman" w:eastAsia="宋体" w:cs="Times New Roman"/>
          <w:color w:val="000000"/>
          <w:kern w:val="0"/>
          <w:sz w:val="24"/>
          <w:szCs w:val="24"/>
          <w:lang w:val="en-US" w:eastAsia="zh-CN" w:bidi="ar"/>
        </w:rPr>
        <w:t>i</w:t>
      </w:r>
      <w:r>
        <w:rPr>
          <w:rFonts w:hint="default" w:ascii="Times New Roman" w:hAnsi="Times New Roman" w:eastAsia="宋体" w:cs="Times New Roman"/>
          <w:color w:val="000000"/>
          <w:kern w:val="0"/>
          <w:sz w:val="24"/>
          <w:szCs w:val="24"/>
          <w:lang w:val="en-US" w:eastAsia="zh-CN" w:bidi="ar"/>
        </w:rPr>
        <w:t xml:space="preserve"> would</w:t>
      </w:r>
      <w:r>
        <w:rPr>
          <w:rFonts w:hint="eastAsia" w:ascii="Times New Roman" w:hAnsi="Times New Roman" w:eastAsia="宋体" w:cs="Times New Roman"/>
          <w:color w:val="000000"/>
          <w:kern w:val="0"/>
          <w:sz w:val="24"/>
          <w:szCs w:val="24"/>
          <w:lang w:val="en-US" w:eastAsia="zh-CN" w:bidi="ar"/>
        </w:rPr>
        <w:t xml:space="preserve"> choose quadrupling the size of the data cache,and it's best to increase the block size.</w:t>
      </w:r>
    </w:p>
    <w:p>
      <w:pPr>
        <w:numPr>
          <w:ilvl w:val="0"/>
          <w:numId w:val="0"/>
        </w:numPr>
        <w:jc w:val="both"/>
        <w:rPr>
          <w:rFonts w:hint="default" w:ascii="Times New Roman" w:hAnsi="Times New Roman" w:cs="Times New Roman"/>
          <w:sz w:val="24"/>
          <w:szCs w:val="24"/>
          <w:lang w:val="en-US" w:eastAsia="zh-CN"/>
        </w:rPr>
      </w:pPr>
    </w:p>
    <w:p>
      <w:pPr>
        <w:numPr>
          <w:numId w:val="0"/>
        </w:numPr>
        <w:ind w:left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5.other advice</w:t>
      </w:r>
    </w:p>
    <w:p>
      <w:pPr>
        <w:keepNext w:val="0"/>
        <w:keepLines w:val="0"/>
        <w:widowControl/>
        <w:suppressLineNumbers w:val="0"/>
        <w:jc w:val="left"/>
        <w:rPr>
          <w:rFonts w:hint="default"/>
          <w:lang w:val="en-US"/>
        </w:rPr>
      </w:pPr>
      <w:r>
        <w:rPr>
          <w:rFonts w:hint="eastAsia" w:ascii="Times New Roman" w:hAnsi="Times New Roman" w:cs="Times New Roman"/>
          <w:sz w:val="24"/>
          <w:szCs w:val="24"/>
          <w:lang w:val="en-US" w:eastAsia="zh-CN"/>
        </w:rPr>
        <w:t>Using multiple levels of data caches or improving memory bandwidth can also helpful to get better results.</w:t>
      </w:r>
    </w:p>
    <w:p>
      <w:pPr>
        <w:numPr>
          <w:numId w:val="0"/>
        </w:numPr>
        <w:ind w:leftChars="0"/>
        <w:jc w:val="both"/>
        <w:rPr>
          <w:rFonts w:hint="default"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49F9B8"/>
    <w:multiLevelType w:val="singleLevel"/>
    <w:tmpl w:val="B849F9B8"/>
    <w:lvl w:ilvl="0" w:tentative="0">
      <w:start w:val="1"/>
      <w:numFmt w:val="decimal"/>
      <w:lvlText w:val="%1."/>
      <w:lvlJc w:val="left"/>
      <w:pPr>
        <w:tabs>
          <w:tab w:val="left" w:pos="312"/>
        </w:tabs>
      </w:pPr>
    </w:lvl>
  </w:abstractNum>
  <w:abstractNum w:abstractNumId="1">
    <w:nsid w:val="06ACE162"/>
    <w:multiLevelType w:val="singleLevel"/>
    <w:tmpl w:val="06ACE16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YTc4ZjYzMWQ1NmQxZmVhOWFjZGIyNDQwY2I0ZTMifQ=="/>
  </w:docVars>
  <w:rsids>
    <w:rsidRoot w:val="73837A75"/>
    <w:rsid w:val="1A056C3C"/>
    <w:rsid w:val="1AC62D5B"/>
    <w:rsid w:val="44A4522B"/>
    <w:rsid w:val="48F1780D"/>
    <w:rsid w:val="4E9530D6"/>
    <w:rsid w:val="680205A8"/>
    <w:rsid w:val="6F057EAC"/>
    <w:rsid w:val="7383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hart" Target="charts/chart5.xml"/><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hart" Target="charts/chart7.xml"/><Relationship Id="rId10" Type="http://schemas.openxmlformats.org/officeDocument/2006/relationships/chart" Target="charts/chart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1</a:t>
            </a:r>
          </a:p>
        </c:rich>
      </c:tx>
      <c:layout/>
      <c:overlay val="0"/>
      <c:spPr>
        <a:noFill/>
        <a:ln>
          <a:noFill/>
        </a:ln>
        <a:effectLst/>
      </c:spPr>
    </c:title>
    <c:autoTitleDeleted val="0"/>
    <c:plotArea>
      <c:layout>
        <c:manualLayout>
          <c:layoutTarget val="inner"/>
          <c:xMode val="edge"/>
          <c:yMode val="edge"/>
          <c:x val="0.105653539502295"/>
          <c:y val="0.162345941351466"/>
          <c:w val="0.863421116211645"/>
          <c:h val="0.694007649808755"/>
        </c:manualLayout>
      </c:layout>
      <c:lineChart>
        <c:grouping val="standard"/>
        <c:varyColors val="0"/>
        <c:ser>
          <c:idx val="0"/>
          <c:order val="0"/>
          <c:tx>
            <c:strRef>
              <c:f>"part1"</c:f>
              <c:strCache>
                <c:ptCount val="1"/>
                <c:pt idx="0">
                  <c:v>part1</c:v>
                </c:pt>
              </c:strCache>
            </c:strRef>
          </c:tx>
          <c:spPr>
            <a:ln w="28575" cap="rnd">
              <a:gradFill>
                <a:gsLst>
                  <a:gs pos="100000">
                    <a:schemeClr val="accent6"/>
                  </a:gs>
                  <a:gs pos="0">
                    <a:schemeClr val="accent6">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Sheet1!$B$1:$B$7</c15:sqref>
                  </c15:fullRef>
                </c:ext>
              </c:extLst>
              <c:f>Sheet1!$B$2:$B$7</c:f>
              <c:numCache>
                <c:formatCode>0.00%</c:formatCode>
                <c:ptCount val="6"/>
                <c:pt idx="0">
                  <c:v>0.3378</c:v>
                </c:pt>
                <c:pt idx="1">
                  <c:v>0.2956</c:v>
                </c:pt>
                <c:pt idx="2">
                  <c:v>0.9991</c:v>
                </c:pt>
                <c:pt idx="3">
                  <c:v>0.9998</c:v>
                </c:pt>
                <c:pt idx="4">
                  <c:v>0.9999</c:v>
                </c:pt>
                <c:pt idx="5">
                  <c:v>0.9999</c:v>
                </c:pt>
              </c:numCache>
            </c:numRef>
          </c:val>
          <c:smooth val="1"/>
        </c:ser>
        <c:ser>
          <c:idx val="1"/>
          <c:order val="1"/>
          <c:tx>
            <c:strRef>
              <c:f>"part2"</c:f>
              <c:strCache>
                <c:ptCount val="1"/>
                <c:pt idx="0">
                  <c:v>part2</c:v>
                </c:pt>
              </c:strCache>
            </c:strRef>
          </c:tx>
          <c:spPr>
            <a:ln w="28575" cap="rnd">
              <a:gradFill>
                <a:gsLst>
                  <a:gs pos="100000">
                    <a:schemeClr val="accent5"/>
                  </a:gs>
                  <a:gs pos="0">
                    <a:schemeClr val="accent5">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Sheet1!$C$1:$C$7</c15:sqref>
                  </c15:fullRef>
                </c:ext>
              </c:extLst>
              <c:f>Sheet1!$C$2:$C$7</c:f>
              <c:numCache>
                <c:formatCode>0.00%</c:formatCode>
                <c:ptCount val="6"/>
                <c:pt idx="0">
                  <c:v>0.3378</c:v>
                </c:pt>
                <c:pt idx="1">
                  <c:v>0.2956</c:v>
                </c:pt>
                <c:pt idx="2">
                  <c:v>0.2732</c:v>
                </c:pt>
                <c:pt idx="3">
                  <c:v>0.2617</c:v>
                </c:pt>
                <c:pt idx="4">
                  <c:v>0.2558</c:v>
                </c:pt>
                <c:pt idx="5">
                  <c:v>0.2529</c:v>
                </c:pt>
              </c:numCache>
            </c:numRef>
          </c:val>
          <c:smooth val="1"/>
        </c:ser>
        <c:dLbls>
          <c:showLegendKey val="0"/>
          <c:showVal val="1"/>
          <c:showCatName val="0"/>
          <c:showSerName val="0"/>
          <c:showPercent val="0"/>
          <c:showBubbleSize val="0"/>
        </c:dLbls>
        <c:marker val="0"/>
        <c:smooth val="1"/>
        <c:axId val="310295488"/>
        <c:axId val="410154836"/>
      </c:lineChart>
      <c:catAx>
        <c:axId val="310295488"/>
        <c:scaling>
          <c:orientation val="minMax"/>
        </c:scaling>
        <c:delete val="0"/>
        <c:axPos val="b"/>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miss rate</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a:t>
            </a:r>
            <a:r>
              <a:rPr lang="en-US" altLang="zh-CN"/>
              <a:t>2</a:t>
            </a:r>
            <a:endParaRPr lang="en-US" altLang="zh-CN"/>
          </a:p>
        </c:rich>
      </c:tx>
      <c:layout/>
      <c:overlay val="0"/>
      <c:spPr>
        <a:noFill/>
        <a:ln>
          <a:noFill/>
        </a:ln>
        <a:effectLst/>
      </c:spPr>
    </c:title>
    <c:autoTitleDeleted val="0"/>
    <c:plotArea>
      <c:layout>
        <c:manualLayout>
          <c:layoutTarget val="inner"/>
          <c:xMode val="edge"/>
          <c:yMode val="edge"/>
          <c:x val="0.105653539502295"/>
          <c:y val="0.162345941351466"/>
          <c:w val="0.863421116211645"/>
          <c:h val="0.694007649808755"/>
        </c:manualLayout>
      </c:layout>
      <c:lineChart>
        <c:grouping val="standard"/>
        <c:varyColors val="0"/>
        <c:ser>
          <c:idx val="0"/>
          <c:order val="0"/>
          <c:tx>
            <c:strRef>
              <c:f>"part1"</c:f>
              <c:strCache>
                <c:ptCount val="1"/>
                <c:pt idx="0">
                  <c:v>part1</c:v>
                </c:pt>
              </c:strCache>
            </c:strRef>
          </c:tx>
          <c:spPr>
            <a:ln w="28575" cap="rnd">
              <a:gradFill>
                <a:gsLst>
                  <a:gs pos="100000">
                    <a:schemeClr val="accent1"/>
                  </a:gs>
                  <a:gs pos="0">
                    <a:schemeClr val="accent1">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lgn="ct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Sheet1!$B$1:$B$7</c15:sqref>
                  </c15:fullRef>
                </c:ext>
              </c:extLst>
              <c:f>Sheet1!$B$2:$B$7</c:f>
              <c:numCache>
                <c:formatCode>0.00%</c:formatCode>
                <c:ptCount val="6"/>
                <c:pt idx="0">
                  <c:v>0.0676</c:v>
                </c:pt>
                <c:pt idx="1">
                  <c:v>0.1204</c:v>
                </c:pt>
                <c:pt idx="2">
                  <c:v>0.0917</c:v>
                </c:pt>
                <c:pt idx="3">
                  <c:v>0.9998</c:v>
                </c:pt>
                <c:pt idx="4">
                  <c:v>0.9999</c:v>
                </c:pt>
                <c:pt idx="5">
                  <c:v>0.9999</c:v>
                </c:pt>
              </c:numCache>
            </c:numRef>
          </c:val>
          <c:smooth val="1"/>
        </c:ser>
        <c:ser>
          <c:idx val="1"/>
          <c:order val="1"/>
          <c:tx>
            <c:strRef>
              <c:f>"part2"</c:f>
              <c:strCache>
                <c:ptCount val="1"/>
                <c:pt idx="0">
                  <c:v>part2</c:v>
                </c:pt>
              </c:strCache>
            </c:strRef>
          </c:tx>
          <c:spPr>
            <a:ln w="28575" cap="rnd">
              <a:gradFill>
                <a:gsLst>
                  <a:gs pos="100000">
                    <a:schemeClr val="accent3"/>
                  </a:gs>
                  <a:gs pos="0">
                    <a:schemeClr val="accent3">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Sheet1!$C$1:$C$7</c15:sqref>
                  </c15:fullRef>
                </c:ext>
              </c:extLst>
              <c:f>Sheet1!$C$2:$C$7</c:f>
              <c:numCache>
                <c:formatCode>0.00%</c:formatCode>
                <c:ptCount val="6"/>
                <c:pt idx="0">
                  <c:v>0.0676</c:v>
                </c:pt>
                <c:pt idx="1">
                  <c:v>0.1204</c:v>
                </c:pt>
                <c:pt idx="2">
                  <c:v>0.0917</c:v>
                </c:pt>
                <c:pt idx="3">
                  <c:v>0.0771</c:v>
                </c:pt>
                <c:pt idx="4">
                  <c:v>0.0698</c:v>
                </c:pt>
                <c:pt idx="5">
                  <c:v>0.0662</c:v>
                </c:pt>
              </c:numCache>
            </c:numRef>
          </c:val>
          <c:smooth val="1"/>
        </c:ser>
        <c:dLbls>
          <c:showLegendKey val="0"/>
          <c:showVal val="1"/>
          <c:showCatName val="0"/>
          <c:showSerName val="0"/>
          <c:showPercent val="0"/>
          <c:showBubbleSize val="0"/>
        </c:dLbls>
        <c:marker val="0"/>
        <c:smooth val="1"/>
        <c:axId val="310295488"/>
        <c:axId val="410154836"/>
      </c:lineChart>
      <c:catAx>
        <c:axId val="310295488"/>
        <c:scaling>
          <c:orientation val="minMax"/>
        </c:scaling>
        <c:delete val="0"/>
        <c:axPos val="b"/>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miss rate</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a:t>
            </a:r>
            <a:r>
              <a:rPr lang="en-US" altLang="zh-CN"/>
              <a:t>3</a:t>
            </a:r>
            <a:endParaRPr lang="en-US" altLang="zh-CN"/>
          </a:p>
        </c:rich>
      </c:tx>
      <c:layout/>
      <c:overlay val="0"/>
      <c:spPr>
        <a:noFill/>
        <a:ln>
          <a:noFill/>
        </a:ln>
        <a:effectLst/>
      </c:spPr>
    </c:title>
    <c:autoTitleDeleted val="0"/>
    <c:plotArea>
      <c:layout>
        <c:manualLayout>
          <c:layoutTarget val="inner"/>
          <c:xMode val="edge"/>
          <c:yMode val="edge"/>
          <c:x val="0.130625840872187"/>
          <c:y val="0.127380717921076"/>
          <c:w val="0.863421116211645"/>
          <c:h val="0.694007649808755"/>
        </c:manualLayout>
      </c:layout>
      <c:lineChart>
        <c:grouping val="standard"/>
        <c:varyColors val="0"/>
        <c:ser>
          <c:idx val="0"/>
          <c:order val="0"/>
          <c:tx>
            <c:strRef>
              <c:f>"part1"</c:f>
              <c:strCache>
                <c:ptCount val="1"/>
                <c:pt idx="0">
                  <c:v>part1</c:v>
                </c:pt>
              </c:strCache>
            </c:strRef>
          </c:tx>
          <c:spPr>
            <a:ln w="28575" cap="rnd">
              <a:gradFill>
                <a:gsLst>
                  <a:gs pos="100000">
                    <a:schemeClr val="accent2"/>
                  </a:gs>
                  <a:gs pos="0">
                    <a:schemeClr val="accent2">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Sheet1!$B$1:$B$7</c15:sqref>
                  </c15:fullRef>
                </c:ext>
              </c:extLst>
              <c:f>Sheet1!$B$2:$B$7</c:f>
              <c:numCache>
                <c:formatCode>0.00%</c:formatCode>
                <c:ptCount val="6"/>
                <c:pt idx="0">
                  <c:v>0.3378</c:v>
                </c:pt>
                <c:pt idx="1">
                  <c:v>0.2956</c:v>
                </c:pt>
                <c:pt idx="2">
                  <c:v>0.4603</c:v>
                </c:pt>
                <c:pt idx="3">
                  <c:v>0.9923</c:v>
                </c:pt>
                <c:pt idx="4">
                  <c:v>0.9999</c:v>
                </c:pt>
                <c:pt idx="5">
                  <c:v>0.9999</c:v>
                </c:pt>
              </c:numCache>
            </c:numRef>
          </c:val>
          <c:smooth val="1"/>
        </c:ser>
        <c:ser>
          <c:idx val="1"/>
          <c:order val="1"/>
          <c:tx>
            <c:strRef>
              <c:f>"part2"</c:f>
              <c:strCache>
                <c:ptCount val="1"/>
                <c:pt idx="0">
                  <c:v>part2</c:v>
                </c:pt>
              </c:strCache>
            </c:strRef>
          </c:tx>
          <c:spPr>
            <a:ln w="28575" cap="rnd">
              <a:gradFill>
                <a:gsLst>
                  <a:gs pos="100000">
                    <a:schemeClr val="accent4"/>
                  </a:gs>
                  <a:gs pos="0">
                    <a:schemeClr val="accent4">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Sheet1!$C$1:$C$7</c15:sqref>
                  </c15:fullRef>
                </c:ext>
              </c:extLst>
              <c:f>Sheet1!$C$2:$C$7</c:f>
              <c:numCache>
                <c:formatCode>0.00%</c:formatCode>
                <c:ptCount val="6"/>
                <c:pt idx="0">
                  <c:v>0.3378</c:v>
                </c:pt>
                <c:pt idx="1">
                  <c:v>0.2956</c:v>
                </c:pt>
                <c:pt idx="2">
                  <c:v>0.2732</c:v>
                </c:pt>
                <c:pt idx="3">
                  <c:v>0.2617</c:v>
                </c:pt>
                <c:pt idx="4">
                  <c:v>0.2558</c:v>
                </c:pt>
                <c:pt idx="5">
                  <c:v>0.2529</c:v>
                </c:pt>
              </c:numCache>
            </c:numRef>
          </c:val>
          <c:smooth val="1"/>
        </c:ser>
        <c:dLbls>
          <c:showLegendKey val="0"/>
          <c:showVal val="1"/>
          <c:showCatName val="0"/>
          <c:showSerName val="0"/>
          <c:showPercent val="0"/>
          <c:showBubbleSize val="0"/>
        </c:dLbls>
        <c:marker val="0"/>
        <c:smooth val="1"/>
        <c:axId val="310295488"/>
        <c:axId val="410154836"/>
      </c:lineChart>
      <c:catAx>
        <c:axId val="310295488"/>
        <c:scaling>
          <c:orientation val="minMax"/>
        </c:scaling>
        <c:delete val="0"/>
        <c:axPos val="b"/>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miss rate</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a:t>
            </a:r>
            <a:r>
              <a:rPr lang="en-US" altLang="zh-CN"/>
              <a:t>4</a:t>
            </a:r>
            <a:endParaRPr lang="en-US" altLang="zh-CN"/>
          </a:p>
        </c:rich>
      </c:tx>
      <c:layout/>
      <c:overlay val="0"/>
      <c:spPr>
        <a:noFill/>
        <a:ln>
          <a:noFill/>
        </a:ln>
        <a:effectLst/>
      </c:spPr>
    </c:title>
    <c:autoTitleDeleted val="0"/>
    <c:plotArea>
      <c:layout>
        <c:manualLayout>
          <c:layoutTarget val="inner"/>
          <c:xMode val="edge"/>
          <c:yMode val="edge"/>
          <c:x val="0.130625840872187"/>
          <c:y val="0.127380717921076"/>
          <c:w val="0.863421116211645"/>
          <c:h val="0.694007649808755"/>
        </c:manualLayout>
      </c:layout>
      <c:lineChart>
        <c:grouping val="standard"/>
        <c:varyColors val="0"/>
        <c:ser>
          <c:idx val="0"/>
          <c:order val="0"/>
          <c:tx>
            <c:strRef>
              <c:f>"part1"</c:f>
              <c:strCache>
                <c:ptCount val="1"/>
                <c:pt idx="0">
                  <c:v>part1</c:v>
                </c:pt>
              </c:strCache>
            </c:strRef>
          </c:tx>
          <c:spPr>
            <a:ln w="28575" cap="rnd">
              <a:gradFill>
                <a:gsLst>
                  <a:gs pos="100000">
                    <a:schemeClr val="accent1"/>
                  </a:gs>
                  <a:gs pos="0">
                    <a:schemeClr val="accent1">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Sheet1!$B$1:$B$7</c15:sqref>
                  </c15:fullRef>
                </c:ext>
              </c:extLst>
              <c:f>Sheet1!$B$2:$B$7</c:f>
              <c:numCache>
                <c:formatCode>0.00%</c:formatCode>
                <c:ptCount val="6"/>
                <c:pt idx="0">
                  <c:v>0.2297</c:v>
                </c:pt>
                <c:pt idx="1">
                  <c:v>0.1788</c:v>
                </c:pt>
                <c:pt idx="2">
                  <c:v>0.2155</c:v>
                </c:pt>
                <c:pt idx="3">
                  <c:v>0.9947</c:v>
                </c:pt>
                <c:pt idx="4">
                  <c:v>0.9999</c:v>
                </c:pt>
                <c:pt idx="5">
                  <c:v>0.9999</c:v>
                </c:pt>
              </c:numCache>
            </c:numRef>
          </c:val>
          <c:smooth val="1"/>
        </c:ser>
        <c:ser>
          <c:idx val="1"/>
          <c:order val="1"/>
          <c:tx>
            <c:strRef>
              <c:f>"part2"</c:f>
              <c:strCache>
                <c:ptCount val="1"/>
                <c:pt idx="0">
                  <c:v>part2</c:v>
                </c:pt>
              </c:strCache>
            </c:strRef>
          </c:tx>
          <c:spPr>
            <a:ln w="28575" cap="rnd">
              <a:gradFill>
                <a:gsLst>
                  <a:gs pos="100000">
                    <a:schemeClr val="accent2"/>
                  </a:gs>
                  <a:gs pos="0">
                    <a:schemeClr val="accent2">
                      <a:hueOff val="-1670000"/>
                    </a:schemeClr>
                  </a:gs>
                </a:gsLst>
                <a:lin ang="0" scaled="1"/>
              </a:gra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Sheet1!$A$1:$A$7</c15:sqref>
                  </c15:fullRef>
                </c:ext>
              </c:extLst>
              <c:f>Sheet1!$A$2:$A$7</c:f>
              <c:strCache>
                <c:ptCount val="6"/>
                <c:pt idx="0">
                  <c:v>8*8</c:v>
                </c:pt>
                <c:pt idx="1">
                  <c:v>16*16</c:v>
                </c:pt>
                <c:pt idx="2">
                  <c:v>32*32</c:v>
                </c:pt>
                <c:pt idx="3">
                  <c:v>64*64</c:v>
                </c:pt>
                <c:pt idx="4">
                  <c:v>128*128</c:v>
                </c:pt>
                <c:pt idx="5">
                  <c:v>256*256</c:v>
                </c:pt>
              </c:strCache>
            </c:strRef>
          </c:cat>
          <c:val>
            <c:numRef>
              <c:extLst>
                <c:ext xmlns:c15="http://schemas.microsoft.com/office/drawing/2012/chart" uri="{02D57815-91ED-43cb-92C2-25804820EDAC}">
                  <c15:fullRef>
                    <c15:sqref>Sheet1!$C$1:$C$7</c15:sqref>
                  </c15:fullRef>
                </c:ext>
              </c:extLst>
              <c:f>Sheet1!$C$2:$C$7</c:f>
              <c:numCache>
                <c:formatCode>0.00%</c:formatCode>
                <c:ptCount val="6"/>
                <c:pt idx="0">
                  <c:v>0.2297</c:v>
                </c:pt>
                <c:pt idx="1">
                  <c:v>0.1788</c:v>
                </c:pt>
                <c:pt idx="2">
                  <c:v>0.1522</c:v>
                </c:pt>
                <c:pt idx="3">
                  <c:v>0.1386</c:v>
                </c:pt>
                <c:pt idx="4">
                  <c:v>0.1318</c:v>
                </c:pt>
                <c:pt idx="5">
                  <c:v>0.1284</c:v>
                </c:pt>
              </c:numCache>
            </c:numRef>
          </c:val>
          <c:smooth val="1"/>
        </c:ser>
        <c:dLbls>
          <c:showLegendKey val="0"/>
          <c:showVal val="1"/>
          <c:showCatName val="0"/>
          <c:showSerName val="0"/>
          <c:showPercent val="0"/>
          <c:showBubbleSize val="0"/>
        </c:dLbls>
        <c:marker val="0"/>
        <c:smooth val="1"/>
        <c:axId val="310295488"/>
        <c:axId val="410154836"/>
      </c:lineChart>
      <c:catAx>
        <c:axId val="310295488"/>
        <c:scaling>
          <c:orientation val="minMax"/>
        </c:scaling>
        <c:delete val="0"/>
        <c:axPos val="b"/>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miss rate</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a:t>
            </a:r>
            <a:r>
              <a:rPr lang="en-US" altLang="zh-CN"/>
              <a:t>5</a:t>
            </a:r>
            <a:endParaRPr lang="en-US" altLang="zh-CN"/>
          </a:p>
        </c:rich>
      </c:tx>
      <c:layout/>
      <c:overlay val="0"/>
      <c:spPr>
        <a:noFill/>
        <a:ln>
          <a:noFill/>
        </a:ln>
        <a:effectLst/>
      </c:spPr>
    </c:title>
    <c:autoTitleDeleted val="0"/>
    <c:plotArea>
      <c:layout>
        <c:manualLayout>
          <c:layoutTarget val="inner"/>
          <c:xMode val="edge"/>
          <c:yMode val="edge"/>
          <c:x val="0.301290671473637"/>
          <c:y val="0.060953915530169"/>
          <c:w val="0.863421116211645"/>
          <c:h val="0.694007649808755"/>
        </c:manualLayout>
      </c:layout>
      <c:barChart>
        <c:barDir val="col"/>
        <c:grouping val="clustered"/>
        <c:varyColors val="0"/>
        <c:ser>
          <c:idx val="0"/>
          <c:order val="0"/>
          <c:tx>
            <c:strRef>
              <c:f>"origin"</c:f>
              <c:strCache>
                <c:ptCount val="1"/>
                <c:pt idx="0">
                  <c:v>origin</c:v>
                </c:pt>
              </c:strCache>
            </c:strRef>
          </c:tx>
          <c:spPr>
            <a:solidFill>
              <a:schemeClr val="accent6"/>
            </a:solidFill>
            <a:ln>
              <a:noFill/>
            </a:ln>
            <a:effectLst/>
          </c:spPr>
          <c:invertIfNegative val="0"/>
          <c:dLbls>
            <c:dLbl>
              <c:idx val="3"/>
              <c:layout>
                <c:manualLayout>
                  <c:x val="0.0321917808219178"/>
                  <c:y val="0"/>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373287671232877"/>
                  <c:y val="0.005562177195073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352739726027397"/>
                  <c:y val="0.005562177195073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Sheet1!$B$2:$B$7</c:f>
              <c:numCache>
                <c:formatCode>0.00%</c:formatCode>
                <c:ptCount val="6"/>
                <c:pt idx="0">
                  <c:v>0.3378</c:v>
                </c:pt>
                <c:pt idx="1">
                  <c:v>0.2956</c:v>
                </c:pt>
                <c:pt idx="2">
                  <c:v>0.9991</c:v>
                </c:pt>
                <c:pt idx="3">
                  <c:v>0.9998</c:v>
                </c:pt>
                <c:pt idx="4">
                  <c:v>0.9999</c:v>
                </c:pt>
                <c:pt idx="5">
                  <c:v>0.9999</c:v>
                </c:pt>
              </c:numCache>
            </c:numRef>
          </c:val>
        </c:ser>
        <c:ser>
          <c:idx val="1"/>
          <c:order val="1"/>
          <c:tx>
            <c:strRef>
              <c:f>"4*blocksize"</c:f>
              <c:strCache>
                <c:ptCount val="1"/>
                <c:pt idx="0">
                  <c:v>4*blocksize</c:v>
                </c:pt>
              </c:strCache>
            </c:strRef>
          </c:tx>
          <c:spPr>
            <a:solidFill>
              <a:schemeClr val="accent5"/>
            </a:solidFill>
            <a:ln>
              <a:noFill/>
            </a:ln>
            <a:effectLst/>
          </c:spPr>
          <c:invertIfNegative val="0"/>
          <c:dLbls>
            <c:dLbl>
              <c:idx val="3"/>
              <c:delete val="1"/>
            </c:dLbl>
            <c:dLbl>
              <c:idx val="4"/>
              <c:delete val="1"/>
            </c:dLbl>
            <c:dLbl>
              <c:idx val="5"/>
              <c:delete val="1"/>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Sheet1!$C$2:$C$7</c:f>
              <c:numCache>
                <c:formatCode>0.00%</c:formatCode>
                <c:ptCount val="6"/>
                <c:pt idx="0">
                  <c:v>0.0676</c:v>
                </c:pt>
                <c:pt idx="1">
                  <c:v>0.1204</c:v>
                </c:pt>
                <c:pt idx="2">
                  <c:v>0.0917</c:v>
                </c:pt>
                <c:pt idx="3">
                  <c:v>0.9998</c:v>
                </c:pt>
                <c:pt idx="4">
                  <c:v>0.9999</c:v>
                </c:pt>
                <c:pt idx="5">
                  <c:v>0.9999</c:v>
                </c:pt>
              </c:numCache>
            </c:numRef>
          </c:val>
        </c:ser>
        <c:ser>
          <c:idx val="2"/>
          <c:order val="2"/>
          <c:tx>
            <c:strRef>
              <c:f>"4*associativity"</c:f>
              <c:strCache>
                <c:ptCount val="1"/>
                <c:pt idx="0">
                  <c:v>4*associativity</c:v>
                </c:pt>
              </c:strCache>
            </c:strRef>
          </c:tx>
          <c:spPr>
            <a:solidFill>
              <a:schemeClr val="accent4"/>
            </a:solidFill>
            <a:ln>
              <a:noFill/>
            </a:ln>
            <a:effectLst/>
          </c:spPr>
          <c:invertIfNegative val="0"/>
          <c:dLbls>
            <c:dLbl>
              <c:idx val="0"/>
              <c:delete val="1"/>
            </c:dLbl>
            <c:dLbl>
              <c:idx val="1"/>
              <c:delete val="1"/>
            </c:dLbl>
            <c:dLbl>
              <c:idx val="3"/>
              <c:delete val="1"/>
            </c:dLbl>
            <c:dLbl>
              <c:idx val="4"/>
              <c:delete val="1"/>
            </c:dLbl>
            <c:dLbl>
              <c:idx val="5"/>
              <c:delete val="1"/>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Sheet1!$D$2:$D$7</c:f>
              <c:numCache>
                <c:formatCode>0.00%</c:formatCode>
                <c:ptCount val="6"/>
                <c:pt idx="0">
                  <c:v>0.3378</c:v>
                </c:pt>
                <c:pt idx="1">
                  <c:v>0.2956</c:v>
                </c:pt>
                <c:pt idx="2">
                  <c:v>0.4603</c:v>
                </c:pt>
                <c:pt idx="3">
                  <c:v>0.9923</c:v>
                </c:pt>
                <c:pt idx="4">
                  <c:v>0.9999</c:v>
                </c:pt>
                <c:pt idx="5">
                  <c:v>0.9999</c:v>
                </c:pt>
              </c:numCache>
            </c:numRef>
          </c:val>
        </c:ser>
        <c:ser>
          <c:idx val="3"/>
          <c:order val="3"/>
          <c:tx>
            <c:strRef>
              <c:f>"2*blocksize 2*associativity"</c:f>
              <c:strCache>
                <c:ptCount val="1"/>
                <c:pt idx="0">
                  <c:v>2*blocksize 2*associativity</c:v>
                </c:pt>
              </c:strCache>
            </c:strRef>
          </c:tx>
          <c:spPr>
            <a:solidFill>
              <a:schemeClr val="accent6">
                <a:lumMod val="60000"/>
              </a:schemeClr>
            </a:solidFill>
            <a:ln>
              <a:noFill/>
            </a:ln>
            <a:effectLst/>
          </c:spPr>
          <c:invertIfNegative val="0"/>
          <c:dLbls>
            <c:dLbl>
              <c:idx val="3"/>
              <c:delete val="1"/>
            </c:dLbl>
            <c:dLbl>
              <c:idx val="4"/>
              <c:delete val="1"/>
            </c:dLbl>
            <c:dLbl>
              <c:idx val="5"/>
              <c:delete val="1"/>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Sheet1!$E$2:$E$7</c:f>
              <c:numCache>
                <c:formatCode>0.00%</c:formatCode>
                <c:ptCount val="6"/>
                <c:pt idx="0">
                  <c:v>0.2297</c:v>
                </c:pt>
                <c:pt idx="1">
                  <c:v>0.1788</c:v>
                </c:pt>
                <c:pt idx="2">
                  <c:v>0.2155</c:v>
                </c:pt>
                <c:pt idx="3">
                  <c:v>0.9947</c:v>
                </c:pt>
                <c:pt idx="4">
                  <c:v>0.9999</c:v>
                </c:pt>
                <c:pt idx="5">
                  <c:v>0.9999</c:v>
                </c:pt>
              </c:numCache>
            </c:numRef>
          </c:val>
        </c:ser>
        <c:dLbls>
          <c:showLegendKey val="0"/>
          <c:showVal val="1"/>
          <c:showCatName val="0"/>
          <c:showSerName val="0"/>
          <c:showPercent val="0"/>
          <c:showBubbleSize val="0"/>
        </c:dLbls>
        <c:gapWidth val="150"/>
        <c:overlap val="0"/>
        <c:axId val="310295488"/>
        <c:axId val="410154836"/>
      </c:barChart>
      <c:catAx>
        <c:axId val="310295488"/>
        <c:scaling>
          <c:orientation val="minMax"/>
        </c:scaling>
        <c:delete val="0"/>
        <c:axPos val="b"/>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miss rate</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a:t>
            </a:r>
            <a:r>
              <a:rPr lang="en-US" altLang="zh-CN"/>
              <a:t>6</a:t>
            </a:r>
            <a:endParaRPr lang="en-US" altLang="zh-CN"/>
          </a:p>
        </c:rich>
      </c:tx>
      <c:layout/>
      <c:overlay val="0"/>
      <c:spPr>
        <a:noFill/>
        <a:ln>
          <a:noFill/>
        </a:ln>
        <a:effectLst/>
      </c:spPr>
    </c:title>
    <c:autoTitleDeleted val="0"/>
    <c:plotArea>
      <c:layout>
        <c:manualLayout>
          <c:layoutTarget val="inner"/>
          <c:xMode val="edge"/>
          <c:yMode val="edge"/>
          <c:x val="0.245438282647585"/>
          <c:y val="0.0516393660700552"/>
          <c:w val="0.863421116211645"/>
          <c:h val="0.694007649808755"/>
        </c:manualLayout>
      </c:layout>
      <c:barChart>
        <c:barDir val="col"/>
        <c:grouping val="clustered"/>
        <c:varyColors val="0"/>
        <c:ser>
          <c:idx val="0"/>
          <c:order val="0"/>
          <c:tx>
            <c:strRef>
              <c:f>"origin"</c:f>
              <c:strCache>
                <c:ptCount val="1"/>
                <c:pt idx="0">
                  <c:v>origin</c:v>
                </c:pt>
              </c:strCache>
            </c:strRef>
          </c:tx>
          <c:spPr>
            <a:solidFill>
              <a:schemeClr val="accent6"/>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Sheet1!$B$2:$B$7</c:f>
              <c:numCache>
                <c:formatCode>0.00%</c:formatCode>
                <c:ptCount val="6"/>
                <c:pt idx="0">
                  <c:v>0.3378</c:v>
                </c:pt>
                <c:pt idx="1">
                  <c:v>0.2956</c:v>
                </c:pt>
                <c:pt idx="2">
                  <c:v>0.2732</c:v>
                </c:pt>
                <c:pt idx="3">
                  <c:v>0.2617</c:v>
                </c:pt>
                <c:pt idx="4">
                  <c:v>0.2558</c:v>
                </c:pt>
                <c:pt idx="5">
                  <c:v>0.2529</c:v>
                </c:pt>
              </c:numCache>
            </c:numRef>
          </c:val>
        </c:ser>
        <c:ser>
          <c:idx val="1"/>
          <c:order val="1"/>
          <c:tx>
            <c:strRef>
              <c:f>"4*blocksize"</c:f>
              <c:strCache>
                <c:ptCount val="1"/>
                <c:pt idx="0">
                  <c:v>4*blocksize</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Sheet1!$C$2:$C$7</c:f>
              <c:numCache>
                <c:formatCode>0.00%</c:formatCode>
                <c:ptCount val="6"/>
                <c:pt idx="0">
                  <c:v>0.0676</c:v>
                </c:pt>
                <c:pt idx="1">
                  <c:v>0.1204</c:v>
                </c:pt>
                <c:pt idx="2">
                  <c:v>0.0917</c:v>
                </c:pt>
                <c:pt idx="3">
                  <c:v>0.0771</c:v>
                </c:pt>
                <c:pt idx="4">
                  <c:v>0.0698</c:v>
                </c:pt>
                <c:pt idx="5">
                  <c:v>0.0662</c:v>
                </c:pt>
              </c:numCache>
            </c:numRef>
          </c:val>
        </c:ser>
        <c:ser>
          <c:idx val="2"/>
          <c:order val="2"/>
          <c:tx>
            <c:strRef>
              <c:f>"4*associativity"</c:f>
              <c:strCache>
                <c:ptCount val="1"/>
                <c:pt idx="0">
                  <c:v>4*associativity</c:v>
                </c:pt>
              </c:strCache>
            </c:strRef>
          </c:tx>
          <c:spPr>
            <a:solidFill>
              <a:schemeClr val="accent4"/>
            </a:solidFill>
            <a:ln>
              <a:noFill/>
            </a:ln>
            <a:effectLst/>
          </c:spPr>
          <c:invertIfNegative val="0"/>
          <c:dLbls>
            <c:dLbl>
              <c:idx val="0"/>
              <c:delete val="1"/>
            </c:dLbl>
            <c:dLbl>
              <c:idx val="1"/>
              <c:delete val="1"/>
            </c:dLbl>
            <c:dLbl>
              <c:idx val="2"/>
              <c:delete val="1"/>
            </c:dLbl>
            <c:dLbl>
              <c:idx val="3"/>
              <c:delete val="1"/>
            </c:dLbl>
            <c:dLbl>
              <c:idx val="4"/>
              <c:delete val="1"/>
            </c:dLbl>
            <c:dLbl>
              <c:idx val="5"/>
              <c:delete val="1"/>
            </c:dLbl>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Sheet1!$D$2:$D$7</c:f>
              <c:numCache>
                <c:formatCode>0.00%</c:formatCode>
                <c:ptCount val="6"/>
                <c:pt idx="0">
                  <c:v>0.3378</c:v>
                </c:pt>
                <c:pt idx="1">
                  <c:v>0.2956</c:v>
                </c:pt>
                <c:pt idx="2">
                  <c:v>0.2732</c:v>
                </c:pt>
                <c:pt idx="3">
                  <c:v>0.2617</c:v>
                </c:pt>
                <c:pt idx="4">
                  <c:v>0.2558</c:v>
                </c:pt>
                <c:pt idx="5">
                  <c:v>0.2529</c:v>
                </c:pt>
              </c:numCache>
            </c:numRef>
          </c:val>
        </c:ser>
        <c:ser>
          <c:idx val="3"/>
          <c:order val="3"/>
          <c:tx>
            <c:strRef>
              <c:f>"2*blocksize 2*associativity"</c:f>
              <c:strCache>
                <c:ptCount val="1"/>
                <c:pt idx="0">
                  <c:v>2*blocksize 2*associativity</c:v>
                </c:pt>
              </c:strCache>
            </c:strRef>
          </c:tx>
          <c:spPr>
            <a:solidFill>
              <a:schemeClr val="accent6">
                <a:lumMod val="60000"/>
              </a:schemeClr>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Sheet1!$E$2:$E$7</c:f>
              <c:numCache>
                <c:formatCode>0.00%</c:formatCode>
                <c:ptCount val="6"/>
                <c:pt idx="0">
                  <c:v>0.2297</c:v>
                </c:pt>
                <c:pt idx="1">
                  <c:v>0.1788</c:v>
                </c:pt>
                <c:pt idx="2">
                  <c:v>0.1522</c:v>
                </c:pt>
                <c:pt idx="3">
                  <c:v>0.1386</c:v>
                </c:pt>
                <c:pt idx="4">
                  <c:v>0.1318</c:v>
                </c:pt>
                <c:pt idx="5">
                  <c:v>0.1284</c:v>
                </c:pt>
              </c:numCache>
            </c:numRef>
          </c:val>
        </c:ser>
        <c:dLbls>
          <c:showLegendKey val="0"/>
          <c:showVal val="1"/>
          <c:showCatName val="0"/>
          <c:showSerName val="0"/>
          <c:showPercent val="0"/>
          <c:showBubbleSize val="0"/>
        </c:dLbls>
        <c:gapWidth val="150"/>
        <c:overlap val="0"/>
        <c:axId val="310295488"/>
        <c:axId val="410154836"/>
      </c:barChart>
      <c:catAx>
        <c:axId val="310295488"/>
        <c:scaling>
          <c:orientation val="minMax"/>
        </c:scaling>
        <c:delete val="0"/>
        <c:axPos val="b"/>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l"/>
        <c:majorGridlines>
          <c:spPr>
            <a:ln w="9525" cap="flat" cmpd="sng" algn="ctr">
              <a:solidFill>
                <a:schemeClr val="bg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miss rate</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dk1">
                    <a:lumMod val="75000"/>
                    <a:lumOff val="25000"/>
                  </a:schemeClr>
                </a:solidFill>
                <a:latin typeface="+mn-lt"/>
                <a:ea typeface="+mn-ea"/>
                <a:cs typeface="+mn-cs"/>
              </a:defRPr>
            </a:pPr>
            <a:r>
              <a:t>figure </a:t>
            </a:r>
            <a:r>
              <a:rPr lang="en-US" altLang="zh-CN"/>
              <a:t>7</a:t>
            </a:r>
            <a:endParaRPr lang="en-US" altLang="zh-CN"/>
          </a:p>
        </c:rich>
      </c:tx>
      <c:layout/>
      <c:overlay val="0"/>
      <c:spPr>
        <a:noFill/>
        <a:ln>
          <a:noFill/>
        </a:ln>
        <a:effectLst/>
      </c:spPr>
    </c:title>
    <c:autoTitleDeleted val="0"/>
    <c:plotArea>
      <c:layout>
        <c:manualLayout>
          <c:layoutTarget val="inner"/>
          <c:xMode val="edge"/>
          <c:yMode val="edge"/>
          <c:x val="0.144734513274336"/>
          <c:y val="0.0279980343162958"/>
          <c:w val="0.863421116211645"/>
          <c:h val="0.694007649808755"/>
        </c:manualLayout>
      </c:layout>
      <c:barChart>
        <c:barDir val="bar"/>
        <c:grouping val="clustered"/>
        <c:varyColors val="0"/>
        <c:ser>
          <c:idx val="0"/>
          <c:order val="0"/>
          <c:tx>
            <c:strRef>
              <c:f>"without divu"</c:f>
              <c:strCache>
                <c:ptCount val="1"/>
                <c:pt idx="0">
                  <c:v>without divu</c:v>
                </c:pt>
              </c:strCache>
            </c:strRef>
          </c:tx>
          <c:spPr>
            <a:solidFill>
              <a:schemeClr val="accent6"/>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Sheet1!$B$2:$B$7</c:f>
              <c:numCache>
                <c:formatCode>General</c:formatCode>
                <c:ptCount val="6"/>
                <c:pt idx="0">
                  <c:v>1243</c:v>
                </c:pt>
                <c:pt idx="1">
                  <c:v>4131</c:v>
                </c:pt>
                <c:pt idx="2">
                  <c:v>14913</c:v>
                </c:pt>
                <c:pt idx="3">
                  <c:v>56431</c:v>
                </c:pt>
                <c:pt idx="4">
                  <c:v>219367</c:v>
                </c:pt>
                <c:pt idx="5">
                  <c:v>864699</c:v>
                </c:pt>
              </c:numCache>
            </c:numRef>
          </c:val>
        </c:ser>
        <c:ser>
          <c:idx val="1"/>
          <c:order val="1"/>
          <c:tx>
            <c:strRef>
              <c:f>"use divu"</c:f>
              <c:strCache>
                <c:ptCount val="1"/>
                <c:pt idx="0">
                  <c:v>use divu</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Sheet1!$A$2:$A$7</c:f>
              <c:strCache>
                <c:ptCount val="6"/>
                <c:pt idx="0">
                  <c:v>8*8</c:v>
                </c:pt>
                <c:pt idx="1">
                  <c:v>16*16</c:v>
                </c:pt>
                <c:pt idx="2">
                  <c:v>32*32</c:v>
                </c:pt>
                <c:pt idx="3">
                  <c:v>64*64</c:v>
                </c:pt>
                <c:pt idx="4">
                  <c:v>128*128</c:v>
                </c:pt>
                <c:pt idx="5">
                  <c:v>256*256</c:v>
                </c:pt>
              </c:strCache>
            </c:strRef>
          </c:cat>
          <c:val>
            <c:numRef>
              <c:f>Sheet1!$C$2:$C$7</c:f>
              <c:numCache>
                <c:formatCode>General</c:formatCode>
                <c:ptCount val="6"/>
                <c:pt idx="0">
                  <c:v>971</c:v>
                </c:pt>
                <c:pt idx="1">
                  <c:v>3587</c:v>
                </c:pt>
                <c:pt idx="2">
                  <c:v>13811</c:v>
                </c:pt>
                <c:pt idx="3">
                  <c:v>54227</c:v>
                </c:pt>
                <c:pt idx="4">
                  <c:v>214931</c:v>
                </c:pt>
                <c:pt idx="5">
                  <c:v>855827</c:v>
                </c:pt>
              </c:numCache>
            </c:numRef>
          </c:val>
        </c:ser>
        <c:dLbls>
          <c:showLegendKey val="0"/>
          <c:showVal val="1"/>
          <c:showCatName val="0"/>
          <c:showSerName val="0"/>
          <c:showPercent val="0"/>
          <c:showBubbleSize val="0"/>
        </c:dLbls>
        <c:gapWidth val="150"/>
        <c:overlap val="0"/>
        <c:axId val="310295488"/>
        <c:axId val="410154836"/>
      </c:barChart>
      <c:catAx>
        <c:axId val="310295488"/>
        <c:scaling>
          <c:orientation val="minMax"/>
        </c:scaling>
        <c:delete val="0"/>
        <c:axPos val="l"/>
        <c:numFmt formatCode="0.00E+0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0154836"/>
        <c:crosses val="autoZero"/>
        <c:auto val="1"/>
        <c:lblAlgn val="ctr"/>
        <c:lblOffset val="100"/>
        <c:noMultiLvlLbl val="0"/>
      </c:catAx>
      <c:valAx>
        <c:axId val="410154836"/>
        <c:scaling>
          <c:orientation val="minMax"/>
        </c:scaling>
        <c:delete val="0"/>
        <c:axPos val="b"/>
        <c:majorGridlines>
          <c:spPr>
            <a:ln w="9525" cap="flat" cmpd="sng" algn="ctr">
              <a:solidFill>
                <a:schemeClr val="bg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cycles</a:t>
                </a:r>
                <a:endParaRPr lang="en-US" altLang="zh-CN"/>
              </a:p>
              <a:p>
                <a:pPr defTabSz="914400">
                  <a:defRPr lang="zh-CN" sz="1000" b="0" i="0" u="none" strike="noStrike" kern="1200" baseline="0">
                    <a:solidFill>
                      <a:schemeClr val="tx1">
                        <a:lumMod val="65000"/>
                        <a:lumOff val="35000"/>
                      </a:schemeClr>
                    </a:solidFill>
                    <a:latin typeface="+mn-lt"/>
                    <a:ea typeface="+mn-ea"/>
                    <a:cs typeface="+mn-cs"/>
                  </a:defRPr>
                </a:pPr>
                <a:endParaRPr lang="en-US" altLang="zh-CN"/>
              </a:p>
            </c:rich>
          </c:tx>
          <c:layout>
            <c:manualLayout>
              <c:xMode val="edge"/>
              <c:yMode val="edge"/>
              <c:x val="0.515094026548673"/>
              <c:y val="0.764514819326025"/>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2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3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gradFill>
          <a:gsLst>
            <a:gs pos="100000">
              <a:schemeClr val="phClr"/>
            </a:gs>
            <a:gs pos="0">
              <a:schemeClr val="phClr">
                <a:hueOff val="-1670000"/>
              </a:schemeClr>
            </a:gs>
          </a:gsLst>
          <a:lin ang="0" scaled="1"/>
        </a:gra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bg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dk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2023-11-25T05:28:00Z</dcterms:created>
  <dc:creator>Goya</dc:creator>
  <cp:lastModifiedBy>Goya</cp:lastModifiedBy>
  <dcterms:modified xsi:type="dcterms:W3CDTF">2023-11-28T09:44:38Z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0F7BD3732A3544948E9F47D33E900D98_11</vt:lpwstr>
  </property>
</Properties>
</file>