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9FE3" w14:textId="77777777" w:rsidR="006242D0" w:rsidRDefault="00000000">
      <w:pPr>
        <w:pStyle w:val="Heading1"/>
      </w:pPr>
      <w:r>
        <w:t>Principal Component Analysis (PCA) Summary Report</w:t>
      </w:r>
    </w:p>
    <w:p w14:paraId="5BDA8D72" w14:textId="77777777" w:rsidR="006242D0" w:rsidRDefault="00000000">
      <w:r>
        <w:t>Cohort: Black patients (BRCA)</w:t>
      </w:r>
    </w:p>
    <w:p w14:paraId="6A714147" w14:textId="77777777" w:rsidR="006242D0" w:rsidRDefault="00000000">
      <w:r>
        <w:t>Goal: Assess clustering structure and evaluate feasibility of synthetic sample generation to improve LASSO-Cox model convergence.</w:t>
      </w:r>
    </w:p>
    <w:p w14:paraId="15E22C18" w14:textId="77777777" w:rsidR="006242D0" w:rsidRDefault="00000000">
      <w:pPr>
        <w:pStyle w:val="Heading2"/>
      </w:pPr>
      <w:r>
        <w:t>1. What PCA Is and Why We Use It</w:t>
      </w:r>
    </w:p>
    <w:p w14:paraId="20C24C65" w14:textId="77777777" w:rsidR="006242D0" w:rsidRDefault="00000000">
      <w:r>
        <w:t>Principal Component Analysis (PCA) is a mathematical technique that helps simplify large, complex datasets while preserving the most important patterns of variation. In this dataset, each sample represents a patient, and each feature represents a gene’s expression level (log₂(n + 1) transformed counts). Since there are 49,828 genes but only 18 patients, the data exist in a very high-dimensional space. PCA rotates this space to find a few new 'axes' (principal components, or PCs) that capture most of the variability in the data. PC1 captures the greatest variation, PC2 captures the next largest variation, and so on. By plotting PC1 and PC2, we can visualize how samples cluster in the major dimensions of genetic variability.</w:t>
      </w:r>
    </w:p>
    <w:p w14:paraId="58F97098" w14:textId="77777777" w:rsidR="006242D0" w:rsidRDefault="00000000">
      <w:pPr>
        <w:pStyle w:val="Heading2"/>
      </w:pPr>
      <w:r>
        <w:t>2. Key Numerical Findings</w:t>
      </w:r>
    </w:p>
    <w:tbl>
      <w:tblPr>
        <w:tblW w:w="0" w:type="auto"/>
        <w:tblLook w:val="04A0" w:firstRow="1" w:lastRow="0" w:firstColumn="1" w:lastColumn="0" w:noHBand="0" w:noVBand="1"/>
      </w:tblPr>
      <w:tblGrid>
        <w:gridCol w:w="4320"/>
        <w:gridCol w:w="4320"/>
      </w:tblGrid>
      <w:tr w:rsidR="006242D0" w14:paraId="4C6C7A2E" w14:textId="77777777">
        <w:tc>
          <w:tcPr>
            <w:tcW w:w="4320" w:type="dxa"/>
          </w:tcPr>
          <w:p w14:paraId="74615002" w14:textId="77777777" w:rsidR="006242D0" w:rsidRDefault="00000000">
            <w:r>
              <w:t>Number of real samples (after QC)</w:t>
            </w:r>
          </w:p>
        </w:tc>
        <w:tc>
          <w:tcPr>
            <w:tcW w:w="4320" w:type="dxa"/>
          </w:tcPr>
          <w:p w14:paraId="54473FEE" w14:textId="77777777" w:rsidR="006242D0" w:rsidRDefault="00000000">
            <w:r>
              <w:t>18</w:t>
            </w:r>
          </w:p>
        </w:tc>
      </w:tr>
      <w:tr w:rsidR="006242D0" w14:paraId="04955B48" w14:textId="77777777">
        <w:tc>
          <w:tcPr>
            <w:tcW w:w="4320" w:type="dxa"/>
          </w:tcPr>
          <w:p w14:paraId="7898260D" w14:textId="77777777" w:rsidR="006242D0" w:rsidRDefault="00000000">
            <w:r>
              <w:t>Number of genes analyzed</w:t>
            </w:r>
          </w:p>
        </w:tc>
        <w:tc>
          <w:tcPr>
            <w:tcW w:w="4320" w:type="dxa"/>
          </w:tcPr>
          <w:p w14:paraId="7FF8BDC6" w14:textId="77777777" w:rsidR="006242D0" w:rsidRDefault="00000000">
            <w:r>
              <w:t>49,828</w:t>
            </w:r>
          </w:p>
        </w:tc>
      </w:tr>
      <w:tr w:rsidR="006242D0" w14:paraId="57588FC8" w14:textId="77777777">
        <w:tc>
          <w:tcPr>
            <w:tcW w:w="4320" w:type="dxa"/>
          </w:tcPr>
          <w:p w14:paraId="70DB807E" w14:textId="77777777" w:rsidR="006242D0" w:rsidRDefault="00000000">
            <w:r>
              <w:t>Variance explained by PC1</w:t>
            </w:r>
          </w:p>
        </w:tc>
        <w:tc>
          <w:tcPr>
            <w:tcW w:w="4320" w:type="dxa"/>
          </w:tcPr>
          <w:p w14:paraId="2FDD497A" w14:textId="77777777" w:rsidR="006242D0" w:rsidRDefault="00000000">
            <w:r>
              <w:t>16.53%</w:t>
            </w:r>
          </w:p>
        </w:tc>
      </w:tr>
      <w:tr w:rsidR="006242D0" w14:paraId="7B49C836" w14:textId="77777777">
        <w:tc>
          <w:tcPr>
            <w:tcW w:w="4320" w:type="dxa"/>
          </w:tcPr>
          <w:p w14:paraId="7B90C9EA" w14:textId="77777777" w:rsidR="006242D0" w:rsidRDefault="00000000">
            <w:r>
              <w:t>Variance explained by PC2</w:t>
            </w:r>
          </w:p>
        </w:tc>
        <w:tc>
          <w:tcPr>
            <w:tcW w:w="4320" w:type="dxa"/>
          </w:tcPr>
          <w:p w14:paraId="7C9F032D" w14:textId="77777777" w:rsidR="006242D0" w:rsidRDefault="00000000">
            <w:r>
              <w:t>9.46%</w:t>
            </w:r>
          </w:p>
        </w:tc>
      </w:tr>
      <w:tr w:rsidR="006242D0" w14:paraId="2FE51506" w14:textId="77777777">
        <w:tc>
          <w:tcPr>
            <w:tcW w:w="4320" w:type="dxa"/>
          </w:tcPr>
          <w:p w14:paraId="5892AAFD" w14:textId="77777777" w:rsidR="006242D0" w:rsidRDefault="00000000">
            <w:r>
              <w:t>Cumulative variance (first 18 PCs)</w:t>
            </w:r>
          </w:p>
        </w:tc>
        <w:tc>
          <w:tcPr>
            <w:tcW w:w="4320" w:type="dxa"/>
          </w:tcPr>
          <w:p w14:paraId="0DB690FE" w14:textId="77777777" w:rsidR="006242D0" w:rsidRDefault="00000000">
            <w:r>
              <w:t>100%</w:t>
            </w:r>
          </w:p>
        </w:tc>
      </w:tr>
      <w:tr w:rsidR="006242D0" w14:paraId="3C65F1CD" w14:textId="77777777">
        <w:tc>
          <w:tcPr>
            <w:tcW w:w="4320" w:type="dxa"/>
          </w:tcPr>
          <w:p w14:paraId="02645C3A" w14:textId="77777777" w:rsidR="006242D0" w:rsidRDefault="00000000">
            <w:r>
              <w:t>Estimated clusters (k-means)</w:t>
            </w:r>
          </w:p>
        </w:tc>
        <w:tc>
          <w:tcPr>
            <w:tcW w:w="4320" w:type="dxa"/>
          </w:tcPr>
          <w:p w14:paraId="5F32D6C3" w14:textId="77777777" w:rsidR="006242D0" w:rsidRDefault="00000000">
            <w:r>
              <w:t>3</w:t>
            </w:r>
          </w:p>
        </w:tc>
      </w:tr>
      <w:tr w:rsidR="006242D0" w14:paraId="26CFB50F" w14:textId="77777777">
        <w:tc>
          <w:tcPr>
            <w:tcW w:w="4320" w:type="dxa"/>
          </w:tcPr>
          <w:p w14:paraId="2DFA12BA" w14:textId="77777777" w:rsidR="006242D0" w:rsidRDefault="00000000">
            <w:r>
              <w:t>Cluster sizes</w:t>
            </w:r>
          </w:p>
        </w:tc>
        <w:tc>
          <w:tcPr>
            <w:tcW w:w="4320" w:type="dxa"/>
          </w:tcPr>
          <w:p w14:paraId="6DAD2775" w14:textId="77777777" w:rsidR="006242D0" w:rsidRDefault="00000000">
            <w:r>
              <w:t>1, 6, and 11 samples</w:t>
            </w:r>
          </w:p>
        </w:tc>
      </w:tr>
      <w:tr w:rsidR="006242D0" w14:paraId="207433AE" w14:textId="77777777">
        <w:tc>
          <w:tcPr>
            <w:tcW w:w="4320" w:type="dxa"/>
          </w:tcPr>
          <w:p w14:paraId="0961B62D" w14:textId="77777777" w:rsidR="006242D0" w:rsidRDefault="00000000">
            <w:r>
              <w:t>Outlier fraction (&gt;3 SD Mahalanobis)</w:t>
            </w:r>
          </w:p>
        </w:tc>
        <w:tc>
          <w:tcPr>
            <w:tcW w:w="4320" w:type="dxa"/>
          </w:tcPr>
          <w:p w14:paraId="049698E5" w14:textId="77777777" w:rsidR="006242D0" w:rsidRDefault="00000000">
            <w:r>
              <w:t>0%</w:t>
            </w:r>
          </w:p>
        </w:tc>
      </w:tr>
    </w:tbl>
    <w:p w14:paraId="24EF4D50" w14:textId="77777777" w:rsidR="006242D0" w:rsidRDefault="00000000">
      <w:r>
        <w:t>Synthetic sample recommendation: 0 (current space is too sparse).</w:t>
      </w:r>
    </w:p>
    <w:p w14:paraId="0B75CB42" w14:textId="5C7238E8" w:rsidR="006242D0" w:rsidRDefault="00000000">
      <w:pPr>
        <w:pStyle w:val="Heading2"/>
      </w:pPr>
      <w:r>
        <w:t>3. Understanding the Scree and Cumulative Variance Plots</w:t>
      </w:r>
    </w:p>
    <w:p w14:paraId="41036A9C" w14:textId="77777777" w:rsidR="006242D0" w:rsidRDefault="00000000">
      <w:r>
        <w:t>The Scree Plot shows that PC1 explains the largest share of variability (~16%), followed by PC2 (~9%), then smaller contributions for PC3–PC5. This suggests that gene expression variation is spread across many genes rather than dominated by a few. The Cumulative Variance Plot rises steadily to 100%, reaching 70% by about 10 components, indicating moderately high intrinsic dimensionality. The cohort’s gene expression differences are complex, not easily summarized by just two or three variables.</w:t>
      </w:r>
    </w:p>
    <w:p w14:paraId="5F94D269" w14:textId="427DEADB" w:rsidR="006242D0" w:rsidRDefault="00AD083E">
      <w:pPr>
        <w:pStyle w:val="Heading2"/>
      </w:pPr>
      <w:r>
        <w:lastRenderedPageBreak/>
        <w:t>4</w:t>
      </w:r>
      <w:r w:rsidR="00000000">
        <w:t>. Outlier Analysis</w:t>
      </w:r>
    </w:p>
    <w:p w14:paraId="6B58DDBC" w14:textId="77777777" w:rsidR="006242D0" w:rsidRDefault="00000000">
      <w:r>
        <w:t>The outlier plot shows no extreme expression outliers beyond three standard deviations in Mahalanobis distance. This is a positive sign, as it means the data are consistent and not dominated by technical artifacts or abnormally different samples. However, this also reinforces that the overall space is small and cohesive, which limits how far we can reasonably extrapolate when generating synthetic samples.</w:t>
      </w:r>
    </w:p>
    <w:p w14:paraId="4B3F5C19" w14:textId="04773F6D" w:rsidR="006242D0" w:rsidRDefault="00AD083E">
      <w:pPr>
        <w:pStyle w:val="Heading2"/>
      </w:pPr>
      <w:r>
        <w:t>5</w:t>
      </w:r>
      <w:r w:rsidR="00000000">
        <w:t>. Cluster Structure</w:t>
      </w:r>
    </w:p>
    <w:p w14:paraId="58BD0D03" w14:textId="77777777" w:rsidR="006242D0" w:rsidRDefault="00000000">
      <w:r>
        <w:t>The k-means clustering identified three clusters: one cluster with a single sample, one with six samples, and one with eleven samples. These small groups likely reflect minor biological or technical variations rather than strongly distinct biological subtypes. The absence of large, well-separated clusters suggests that the Black BRCA expression data occupy a compact, continuous manifold, not discrete subgroups.</w:t>
      </w:r>
    </w:p>
    <w:p w14:paraId="67A91570" w14:textId="50CD5E4C" w:rsidR="006242D0" w:rsidRDefault="00AD083E">
      <w:pPr>
        <w:pStyle w:val="Heading2"/>
      </w:pPr>
      <w:r>
        <w:t>6</w:t>
      </w:r>
      <w:r w:rsidR="00000000">
        <w:t>. Implications for Synthetic Sample Generation</w:t>
      </w:r>
    </w:p>
    <w:p w14:paraId="5CA8525C" w14:textId="77777777" w:rsidR="006242D0" w:rsidRDefault="00000000">
      <w:r>
        <w:t>Because PCA revealed a very small sample size (18), no clear survival-based separation, and three small, overlapping clusters, the current dataset provides limited diversity to model from. The heuristic analysis recommends against generating synthetic samples at this stage, as doing so may distort the biological structure rather than enrich it. If data augmentation is attempted later, it should be done within each small cluster, ensuring that generated samples stay near real data points in expression space.</w:t>
      </w:r>
    </w:p>
    <w:p w14:paraId="406C8A1C" w14:textId="3E45BCF3" w:rsidR="006242D0" w:rsidRDefault="00AD083E">
      <w:pPr>
        <w:pStyle w:val="Heading2"/>
      </w:pPr>
      <w:r>
        <w:t>7</w:t>
      </w:r>
      <w:r w:rsidR="00000000">
        <w:t>. Recommendations Going Forward</w:t>
      </w:r>
    </w:p>
    <w:p w14:paraId="1EFB2339" w14:textId="77777777" w:rsidR="006242D0" w:rsidRDefault="00000000">
      <w:r>
        <w:t>• Avoid synthetic generation for now, as oversampling may misrepresent the true underlying biology.</w:t>
      </w:r>
    </w:p>
    <w:p w14:paraId="23830D63" w14:textId="77777777" w:rsidR="006242D0" w:rsidRDefault="00000000">
      <w:r>
        <w:t>• Integrate data from similar studies (e.g., METABRIC, GTEx) to expand representation of Black BRCA samples.</w:t>
      </w:r>
    </w:p>
    <w:p w14:paraId="75A553F9" w14:textId="77777777" w:rsidR="006242D0" w:rsidRDefault="00000000">
      <w:r>
        <w:t>• If synthetic data generation becomes necessary, apply it separately within each cluster using localized modeling.</w:t>
      </w:r>
    </w:p>
    <w:p w14:paraId="62935C75" w14:textId="77777777" w:rsidR="006242D0" w:rsidRDefault="00000000">
      <w:r>
        <w:t>• Re-run PCA after augmentation to confirm that synthetic samples fall within the same manifold.</w:t>
      </w:r>
    </w:p>
    <w:p w14:paraId="4A4EEF03" w14:textId="77777777" w:rsidR="006242D0" w:rsidRDefault="00000000">
      <w:r>
        <w:t>• Re-test LASSO-Cox model convergence after augmentation to ensure coefficient stability.</w:t>
      </w:r>
    </w:p>
    <w:p w14:paraId="51341F41" w14:textId="6F37309B" w:rsidR="006242D0" w:rsidRDefault="00AD083E">
      <w:pPr>
        <w:pStyle w:val="Heading2"/>
      </w:pPr>
      <w:r>
        <w:t>8</w:t>
      </w:r>
      <w:r w:rsidR="00000000">
        <w:t>. Conclusion</w:t>
      </w:r>
    </w:p>
    <w:p w14:paraId="579FE04C" w14:textId="77777777" w:rsidR="006242D0" w:rsidRDefault="00000000">
      <w:r>
        <w:t>The PCA analysis of the Black BRCA cohort reveals a small but consistent dataset characterized by three small subgroups and no major outliers. Because variance is widely distributed across many dimensions and no survival-driven structure emerges, synthetic augmentation is not yet justified. The data form a coherent, low-diversity manifold that is too small for reliable generative modeling. The priority should be to acquire more authentic samples or cautiously perform cluster-restricted augmentation in future work.</w:t>
      </w:r>
    </w:p>
    <w:sectPr w:rsidR="006242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706883">
    <w:abstractNumId w:val="8"/>
  </w:num>
  <w:num w:numId="2" w16cid:durableId="1237322239">
    <w:abstractNumId w:val="6"/>
  </w:num>
  <w:num w:numId="3" w16cid:durableId="625241349">
    <w:abstractNumId w:val="5"/>
  </w:num>
  <w:num w:numId="4" w16cid:durableId="642929790">
    <w:abstractNumId w:val="4"/>
  </w:num>
  <w:num w:numId="5" w16cid:durableId="787939360">
    <w:abstractNumId w:val="7"/>
  </w:num>
  <w:num w:numId="6" w16cid:durableId="1779254803">
    <w:abstractNumId w:val="3"/>
  </w:num>
  <w:num w:numId="7" w16cid:durableId="154273383">
    <w:abstractNumId w:val="2"/>
  </w:num>
  <w:num w:numId="8" w16cid:durableId="261572052">
    <w:abstractNumId w:val="1"/>
  </w:num>
  <w:num w:numId="9" w16cid:durableId="404492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C9E"/>
    <w:rsid w:val="006242D0"/>
    <w:rsid w:val="00AA1D8D"/>
    <w:rsid w:val="00AD083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BF22F"/>
  <w14:defaultImageDpi w14:val="300"/>
  <w15:docId w15:val="{FE7C4614-E5DF-9042-943D-707D40F14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Joshi, Arnav</cp:lastModifiedBy>
  <cp:revision>2</cp:revision>
  <dcterms:created xsi:type="dcterms:W3CDTF">2013-12-23T23:15:00Z</dcterms:created>
  <dcterms:modified xsi:type="dcterms:W3CDTF">2025-10-27T22:40:00Z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2025-10-27T22:40:51Z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db4ca542-3c98-4f55-9f26-a8d3daa370c9</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ies>
</file>