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C4E"/>
          <w:sz w:val="28"/>
        </w:rPr>
        <w:t>FIELDWORK REPORT</w:t>
      </w:r>
    </w:p>
    <w:p>
      <w:r>
        <w:rPr>
          <w:i/>
          <w:color w:val="595959"/>
          <w:sz w:val="18"/>
        </w:rPr>
        <w:t>Halloway Brand Tracker, Wave 12 | Ferndale Insight Group | Field 4 to 12 May 2026</w:t>
      </w:r>
    </w:p>
    <w:p>
      <w:r>
        <w:t>Field closed on 12 May with 1,334 completes against a target of 1,300. Three matters arose during fieldwork that the analysis team should be aware of.</w:t>
      </w:r>
    </w:p>
    <w:p>
      <w:r>
        <w:rPr>
          <w:b/>
          <w:color w:val="5B2C4E"/>
          <w:sz w:val="23"/>
        </w:rPr>
        <w:t>1. Panel supplier substitution</w:t>
      </w:r>
    </w:p>
    <w:p>
      <w:r>
        <w:t>Sample was ordered from Meridian Panels as in previous waves. Meridian advised on the evening of day 3 that it could not deliver the remaining completes within the field window. The balance was sourced from Colwyn Audience, which is on our approved list but has not been used on this tracker before. Colwyn supplied from day 4 onwards. Colwyn's panel is understood to be more heavily weighted towards younger and more urban respondents than Meridian's.</w:t>
      </w:r>
    </w:p>
    <w:p>
      <w:r>
        <w:rPr>
          <w:b/>
          <w:color w:val="5B2C4E"/>
          <w:sz w:val="23"/>
        </w:rPr>
        <w:t>2. Quota shortfalls</w:t>
      </w:r>
    </w:p>
    <w:p>
      <w:r>
        <w:t>Two interlocking quota cells closed short. The 65 and over cell achieved against a target of 180 and the Northeast cell against a target of 216. Colwyn was unable to deliver further completes in either cell within the field window and the client declined an extension.</w:t>
      </w:r>
    </w:p>
    <w:p>
      <w:r>
        <w:rPr>
          <w:b/>
          <w:color w:val="5B2C4E"/>
          <w:sz w:val="23"/>
        </w:rPr>
        <w:t>3. Screener wording</w:t>
      </w:r>
    </w:p>
    <w:p>
      <w:r>
        <w:t>An editing error meant that on days 1 and 2 the category screener at Q2 asked about purchase in the past three months rather than the past twelve months, which is the standing wording. The error was identified on the morning of day 3 and corrected. Respondents interviewed on days 1 and 2 carry screener_version v1_3month in the data file; all others carry v2_12month. The error affected only Q2. Screening for the survey overall is on age and country of residence and was unaffected, so the achieved sample remains a general adult sample.</w:t>
      </w:r>
    </w:p>
    <w:p>
      <w:r>
        <w:rPr>
          <w:b/>
          <w:color w:val="5B2C4E"/>
          <w:sz w:val="23"/>
        </w:rPr>
        <w:t>4. Data quality</w:t>
      </w:r>
    </w:p>
    <w:p>
      <w:r>
        <w:t>No quality removals have been applied to the delivered file. Length of interview is recorded in minutes and the eight-item battery is delivered as recorded. The analysis team should apply the standing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