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C4E"/>
          <w:sz w:val="28"/>
        </w:rPr>
        <w:t>TRACKER METHOD NOTE</w:t>
      </w:r>
    </w:p>
    <w:p>
      <w:r>
        <w:rPr>
          <w:i/>
          <w:color w:val="595959"/>
          <w:sz w:val="18"/>
        </w:rPr>
        <w:t>Halloway Brand Tracker | Ferndale Insight Group | Standing methodology, revision 4</w:t>
      </w:r>
    </w:p>
    <w:p>
      <w:r>
        <w:rPr>
          <w:b/>
          <w:color w:val="5B2C4E"/>
          <w:sz w:val="23"/>
        </w:rPr>
        <w:t>Universe and base</w:t>
      </w:r>
    </w:p>
    <w:p>
      <w:r>
        <w:t>The tracker measures adults 18 and over in the United States. The base for all headline metrics is all adults, not category users. Awareness, consideration and past twelve month use are reported on that base.</w:t>
      </w:r>
    </w:p>
    <w:p>
      <w:r>
        <w:rPr>
          <w:b/>
          <w:color w:val="5B2C4E"/>
          <w:sz w:val="23"/>
        </w:rPr>
        <w:t>Quality removals</w:t>
      </w:r>
    </w:p>
    <w:p>
      <w:r>
        <w:t>Removals are applied before weighting, in this order. First, any respondent whose length of interview is below one third of the median length of interview for the wave. Second, any respondent giving an identical response to all 8 items of the attribute battery. A respondent failing both rules is removed once.</w:t>
      </w:r>
    </w:p>
    <w:p>
      <w:r>
        <w:rPr>
          <w:b/>
          <w:color w:val="5B2C4E"/>
          <w:sz w:val="23"/>
        </w:rPr>
        <w:t>Weighting</w:t>
      </w:r>
    </w:p>
    <w:p>
      <w:r>
        <w:t>Weights are produced by iterative proportional fitting to three margins: age band by gender interlocked, region, and highest educational attainment. Weights are scaled to a mean of one. After fitting, weights are trimmed at 0.30 and 3.00 and the fit is repeated, for up to 3 cycles. Margins not listed above are not used as weighting margins, whatever reference data may be available for them.</w:t>
      </w:r>
    </w:p>
    <w:p>
      <w:r>
        <w:rPr>
          <w:b/>
          <w:color w:val="5B2C4E"/>
          <w:sz w:val="23"/>
        </w:rPr>
        <w:t>Precision</w:t>
      </w:r>
    </w:p>
    <w:p>
      <w:r>
        <w:t>Effective sample size is the square of the sum of the weights divided by the sum of the squared weights. The design effect is the achieved sample size divided by the effective sample size. Margins of error are reported at ninety five percent confidence and are computed on the effective sample size, not on the achieved sample size.</w:t>
      </w:r>
    </w:p>
    <w:p>
      <w:r>
        <w:rPr>
          <w:b/>
          <w:color w:val="5B2C4E"/>
          <w:sz w:val="23"/>
        </w:rPr>
        <w:t>Trend</w:t>
      </w:r>
    </w:p>
    <w:p>
      <w:r>
        <w:t>Waves are comparable only where the same weighting scheme has been applied. Prior wave awareness on this scheme was as follows.</w:t>
      </w:r>
    </w:p>
    <w:p>
      <w:pPr>
        <w:pStyle w:val="ListBullet"/>
      </w:pPr>
      <w:r>
        <w:t>Wave 9: 67.1 per cent</w:t>
      </w:r>
    </w:p>
    <w:p>
      <w:pPr>
        <w:pStyle w:val="ListBullet"/>
      </w:pPr>
      <w:r>
        <w:t>Wave 10: 66.8 per cent</w:t>
      </w:r>
    </w:p>
    <w:p>
      <w:pPr>
        <w:pStyle w:val="ListBullet"/>
      </w:pPr>
      <w:r>
        <w:t>Wave 11: 66.4 per 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