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3D"/>
          <w:sz w:val="30"/>
        </w:rPr>
        <w:t>MEMORANDUM</w:t>
      </w:r>
    </w:p>
    <w:tbl>
      <w:tblPr>
        <w:tblStyle w:val="TableGrid"/>
        <w:tblW w:type="auto" w:w="0"/>
        <w:tblLook w:firstColumn="1" w:firstRow="1" w:lastColumn="0" w:lastRow="0" w:noHBand="0" w:noVBand="1" w:val="04A0"/>
      </w:tblPr>
      <w:tblGrid>
        <w:gridCol w:w="5040"/>
        <w:gridCol w:w="5040"/>
      </w:tblGrid>
      <w:tr>
        <w:tc>
          <w:tcPr>
            <w:tcW w:type="dxa" w:w="1008"/>
          </w:tcPr>
          <w:p>
            <w:r/>
            <w:r>
              <w:rPr>
                <w:b/>
              </w:rPr>
              <w:t>To</w:t>
            </w:r>
          </w:p>
        </w:tc>
        <w:tc>
          <w:tcPr>
            <w:tcW w:type="dxa" w:w="9072"/>
          </w:tcPr>
          <w:p>
            <w:r>
              <w:t>Marisa Quintanilla, Kestrel Industrial Partners LLC; Ben Oyediran, Oyediran Vance LLP</w:t>
            </w:r>
          </w:p>
        </w:tc>
      </w:tr>
      <w:tr>
        <w:tc>
          <w:tcPr>
            <w:tcW w:type="dxa" w:w="1008"/>
          </w:tcPr>
          <w:p>
            <w:r/>
            <w:r>
              <w:rPr>
                <w:b/>
              </w:rPr>
              <w:t>From</w:t>
            </w:r>
          </w:p>
        </w:tc>
        <w:tc>
          <w:tcPr>
            <w:tcW w:type="dxa" w:w="9072"/>
          </w:tcPr>
          <w:p>
            <w:r>
              <w:t>Dee Ferraro, PG, Marchbank Environmental, Inc.</w:t>
            </w:r>
          </w:p>
        </w:tc>
      </w:tr>
      <w:tr>
        <w:tc>
          <w:tcPr>
            <w:tcW w:type="dxa" w:w="1008"/>
          </w:tcPr>
          <w:p>
            <w:r/>
            <w:r>
              <w:rPr>
                <w:b/>
              </w:rPr>
              <w:t>Date</w:t>
            </w:r>
          </w:p>
        </w:tc>
        <w:tc>
          <w:tcPr>
            <w:tcW w:type="dxa" w:w="9072"/>
          </w:tcPr>
          <w:p>
            <w:r>
              <w:t>March 16, 2026</w:t>
            </w:r>
          </w:p>
        </w:tc>
      </w:tr>
      <w:tr>
        <w:tc>
          <w:tcPr>
            <w:tcW w:type="dxa" w:w="1008"/>
          </w:tcPr>
          <w:p>
            <w:r/>
            <w:r>
              <w:rPr>
                <w:b/>
              </w:rPr>
              <w:t>Subject</w:t>
            </w:r>
          </w:p>
        </w:tc>
        <w:tc>
          <w:tcPr>
            <w:tcW w:type="dxa" w:w="9072"/>
          </w:tcPr>
          <w:p>
            <w:r>
              <w:t>Phase II ESA data evaluation, remedial cost estimate and recommendation - 1480 Fairlead Street, Brayton, Ostrander</w:t>
            </w:r>
          </w:p>
        </w:tc>
      </w:tr>
      <w:tr>
        <w:tc>
          <w:tcPr>
            <w:tcW w:type="dxa" w:w="1008"/>
          </w:tcPr>
          <w:p>
            <w:r/>
            <w:r>
              <w:rPr>
                <w:b/>
              </w:rPr>
              <w:t>Project</w:t>
            </w:r>
          </w:p>
        </w:tc>
        <w:tc>
          <w:tcPr>
            <w:tcW w:type="dxa" w:w="9072"/>
          </w:tcPr>
          <w:p>
            <w:r>
              <w:t>26-0431</w:t>
            </w:r>
          </w:p>
        </w:tc>
      </w:tr>
    </w:tbl>
    <w:p>
      <w:pPr>
        <w:spacing w:before="200" w:after="60"/>
      </w:pPr>
      <w:r>
        <w:rPr>
          <w:b/>
          <w:color w:val="1F4E3D"/>
          <w:sz w:val="23"/>
        </w:rPr>
        <w:t>1.  Conclusions</w:t>
      </w:r>
    </w:p>
    <w:p>
      <w:r>
        <w:t>The property is impactable but closeable. Three of the four areas of concern carry soil concentrations above the applicable criteria, groundwater beneath the east and north yards is impacted by tetrachloroethene, and neither condition prevents the warehouse from being built. What they do is cost money and consume time, and on the present schedule there is not enough of the second to be certain about the first.</w:t>
      </w:r>
    </w:p>
    <w:p>
      <w:r>
        <w:t>Our recommended course is a targeted excavation of the three impacted areas above the water table, an activity and use limitation restricting the property to commercial and industrial use, a vapour intrusion evaluation before the slab is designed, and four quarters of groundwater monitoring. We estimate that at $403,820 including a twenty percent contingency, rising to $477,020 if the vapour evaluation shows that a sub-slab depressurisation system is needed.</w:t>
      </w:r>
    </w:p>
    <w:p>
      <w:r>
        <w:t>Both figures exceed the $350,000 environmental escrow under Section 9.1. The shortfall is $53,820 on the base case and $127,020 if mitigation proves necessary, and under Section 9.1 that excess sits with Kestrel.</w:t>
      </w:r>
    </w:p>
    <w:p>
      <w:r>
        <w:t>Two things cannot be resolved inside the current due diligence period. Vinyl chloride was reported as not detected in every soil sample, but at a reporting limit above the criterion that applies to it, so those results do not demonstrate compliance. And the vapour intrusion question has to be answered before the building is designed, not after. Together those need about 34 days from today against the 22 that remain. We recommend exercising the Section 4.3 extension.</w:t>
      </w:r>
    </w:p>
    <w:p>
      <w:pPr>
        <w:spacing w:before="200" w:after="60"/>
      </w:pPr>
      <w:r>
        <w:rPr>
          <w:b/>
          <w:color w:val="1F4E3D"/>
          <w:sz w:val="23"/>
        </w:rPr>
        <w:t>2.  Which criteria apply, and why</w:t>
      </w:r>
    </w:p>
    <w:p>
      <w:r>
        <w:t>Choosing the criteria is the single decision that most affects the cost of this transaction, so we have set out the basis for each.</w:t>
      </w:r>
    </w:p>
    <w:tbl>
      <w:tblPr>
        <w:tblStyle w:val="LightGrid-Accent3"/>
        <w:tblW w:type="auto" w:w="0"/>
        <w:tblLook w:firstColumn="1" w:firstRow="1" w:lastColumn="0" w:lastRow="0" w:noHBand="0" w:noVBand="1" w:val="04A0"/>
      </w:tblPr>
      <w:tblGrid>
        <w:gridCol w:w="3360"/>
        <w:gridCol w:w="3360"/>
        <w:gridCol w:w="3360"/>
      </w:tblGrid>
      <w:tr>
        <w:tc>
          <w:tcPr>
            <w:tcW w:type="dxa" w:w="1872"/>
          </w:tcPr>
          <w:p>
            <w:r/>
            <w:r>
              <w:rPr>
                <w:b/>
                <w:sz w:val="17"/>
              </w:rPr>
              <w:t>Pathway</w:t>
            </w:r>
          </w:p>
        </w:tc>
        <w:tc>
          <w:tcPr>
            <w:tcW w:type="dxa" w:w="2448"/>
          </w:tcPr>
          <w:p>
            <w:r/>
            <w:r>
              <w:rPr>
                <w:b/>
                <w:sz w:val="17"/>
              </w:rPr>
              <w:t>Criteria applied</w:t>
            </w:r>
          </w:p>
        </w:tc>
        <w:tc>
          <w:tcPr>
            <w:tcW w:type="dxa" w:w="5760"/>
          </w:tcPr>
          <w:p>
            <w:r/>
            <w:r>
              <w:rPr>
                <w:b/>
                <w:sz w:val="17"/>
              </w:rPr>
              <w:t>Basis</w:t>
            </w:r>
          </w:p>
        </w:tc>
      </w:tr>
      <w:tr>
        <w:tc>
          <w:tcPr>
            <w:tcW w:type="dxa" w:w="1872"/>
          </w:tcPr>
          <w:p>
            <w:r/>
            <w:r>
              <w:rPr>
                <w:sz w:val="17"/>
              </w:rPr>
              <w:t>Soil, direct contact</w:t>
            </w:r>
          </w:p>
        </w:tc>
        <w:tc>
          <w:tcPr>
            <w:tcW w:type="dxa" w:w="2448"/>
          </w:tcPr>
          <w:p>
            <w:r/>
            <w:r>
              <w:rPr>
                <w:sz w:val="17"/>
              </w:rPr>
              <w:t>Industrial and commercial</w:t>
            </w:r>
          </w:p>
        </w:tc>
        <w:tc>
          <w:tcPr>
            <w:tcW w:type="dxa" w:w="5760"/>
          </w:tcPr>
          <w:p>
            <w:r/>
            <w:r>
              <w:rPr>
                <w:sz w:val="17"/>
              </w:rPr>
              <w:t>Zoning is M-2 and residential occupancy is not a permitted use. Kestrel's use is a distribution warehouse. ODEQ permits the industrial column where an activity and use limitation is recorded, and Kestrel has confirmed it will accept one.</w:t>
            </w:r>
          </w:p>
        </w:tc>
      </w:tr>
      <w:tr>
        <w:tc>
          <w:tcPr>
            <w:tcW w:type="dxa" w:w="1872"/>
          </w:tcPr>
          <w:p>
            <w:r/>
            <w:r>
              <w:rPr>
                <w:sz w:val="17"/>
              </w:rPr>
              <w:t>Soil, leaching</w:t>
            </w:r>
          </w:p>
        </w:tc>
        <w:tc>
          <w:tcPr>
            <w:tcW w:type="dxa" w:w="2448"/>
          </w:tcPr>
          <w:p>
            <w:r/>
            <w:r>
              <w:rPr>
                <w:sz w:val="17"/>
              </w:rPr>
              <w:t>Soil to groundwater</w:t>
            </w:r>
          </w:p>
        </w:tc>
        <w:tc>
          <w:tcPr>
            <w:tcW w:type="dxa" w:w="5760"/>
          </w:tcPr>
          <w:p>
            <w:r/>
            <w:r>
              <w:rPr>
                <w:sz w:val="17"/>
              </w:rPr>
              <w:t>Applied at every property irrespective of use classification, per Table 3-1. This pathway, not direct contact, drives most of the footprint here.</w:t>
            </w:r>
          </w:p>
        </w:tc>
      </w:tr>
      <w:tr>
        <w:tc>
          <w:tcPr>
            <w:tcW w:type="dxa" w:w="1872"/>
          </w:tcPr>
          <w:p>
            <w:r/>
            <w:r>
              <w:rPr>
                <w:sz w:val="17"/>
              </w:rPr>
              <w:t>Groundwater</w:t>
            </w:r>
          </w:p>
        </w:tc>
        <w:tc>
          <w:tcPr>
            <w:tcW w:type="dxa" w:w="2448"/>
          </w:tcPr>
          <w:p>
            <w:r/>
            <w:r>
              <w:rPr>
                <w:sz w:val="17"/>
              </w:rPr>
              <w:t>GW-2 and GW-3; GW-1 not applied</w:t>
            </w:r>
          </w:p>
        </w:tc>
        <w:tc>
          <w:tcPr>
            <w:tcW w:type="dxa" w:w="5760"/>
          </w:tcPr>
          <w:p>
            <w:r/>
            <w:r>
              <w:rPr>
                <w:sz w:val="17"/>
              </w:rPr>
              <w:t>The surficial aquifer is mapped Class II-B, not a current or potential potable source. The property and its neighbours are on the Brayton municipal system and no private supply wells were identified within one mile. GW-2 applies because the planned building will sit over the impacted groundwater.</w:t>
            </w:r>
          </w:p>
        </w:tc>
      </w:tr>
    </w:tbl>
    <w:p/>
    <w:p>
      <w:r>
        <w:t>The distinction matters. Measured against GW-1, ten additional results across all three downgradient wells would appear to exceed, including chromium and lead at TW-01 and the full chlorinated ethene suite at TW-02 and TW-03. Applying GW-1 here would point toward aquifer restoration, which is neither required nor useful at a property where nobody drinks the groundwater. It would also, on our estimating basis, roughly double the cost.</w:t>
      </w:r>
    </w:p>
    <w:p>
      <w:pPr>
        <w:spacing w:before="200" w:after="60"/>
      </w:pPr>
      <w:r>
        <w:rPr>
          <w:b/>
          <w:color w:val="1F4E3D"/>
          <w:sz w:val="23"/>
        </w:rPr>
        <w:t>3.  Data usability</w:t>
      </w:r>
    </w:p>
    <w:p>
      <w:r>
        <w:t>Calderwood did not validate the data and four items in the case narrative bear on how the results should be read. Two of them remove apparent exceedances; one of them removes our ability to draw a conclusion at all.</w:t>
      </w:r>
    </w:p>
    <w:tbl>
      <w:tblPr>
        <w:tblStyle w:val="LightGrid-Accent3"/>
        <w:tblW w:type="auto" w:w="0"/>
        <w:tblLook w:firstColumn="1" w:firstRow="1" w:lastColumn="0" w:lastRow="0" w:noHBand="0" w:noVBand="1" w:val="04A0"/>
      </w:tblPr>
      <w:tblGrid>
        <w:gridCol w:w="5040"/>
        <w:gridCol w:w="5040"/>
      </w:tblGrid>
      <w:tr>
        <w:tc>
          <w:tcPr>
            <w:tcW w:type="dxa" w:w="3456"/>
          </w:tcPr>
          <w:p>
            <w:r/>
            <w:r>
              <w:rPr>
                <w:b/>
                <w:sz w:val="17"/>
              </w:rPr>
              <w:t>Finding</w:t>
            </w:r>
          </w:p>
        </w:tc>
        <w:tc>
          <w:tcPr>
            <w:tcW w:type="dxa" w:w="6624"/>
          </w:tcPr>
          <w:p>
            <w:r/>
            <w:r>
              <w:rPr>
                <w:b/>
                <w:sz w:val="17"/>
              </w:rPr>
              <w:t>Effect on the conclusions</w:t>
            </w:r>
          </w:p>
        </w:tc>
      </w:tr>
      <w:tr>
        <w:tc>
          <w:tcPr>
            <w:tcW w:type="dxa" w:w="3456"/>
          </w:tcPr>
          <w:p>
            <w:r/>
            <w:r>
              <w:rPr>
                <w:sz w:val="17"/>
              </w:rPr>
              <w:t>Methylene chloride in the soil volatile method blank at 620 ug/kg</w:t>
            </w:r>
          </w:p>
        </w:tc>
        <w:tc>
          <w:tcPr>
            <w:tcW w:type="dxa" w:w="6624"/>
          </w:tcPr>
          <w:p>
            <w:r/>
            <w:r>
              <w:rPr>
                <w:sz w:val="17"/>
              </w:rPr>
              <w:t>Methylene chloride was detected in 5 samples between 902 and 2,130 ug/kg. Every detection is below five times the blank concentration, the conventional threshold for a common laboratory contaminant, and all are qualified as not detected. Taken at face value they would each have exceeded the 900 ug/kg leaching criterion and would have added a fourth constituent to the remedy across both buildings. They are laboratory artefact, not site condition.</w:t>
            </w:r>
          </w:p>
        </w:tc>
      </w:tr>
      <w:tr>
        <w:tc>
          <w:tcPr>
            <w:tcW w:type="dxa" w:w="3456"/>
          </w:tcPr>
          <w:p>
            <w:r/>
            <w:r>
              <w:rPr>
                <w:sz w:val="17"/>
              </w:rPr>
              <w:t>Vinyl chloride reporting limit of 50 ug/kg</w:t>
            </w:r>
          </w:p>
        </w:tc>
        <w:tc>
          <w:tcPr>
            <w:tcW w:type="dxa" w:w="6624"/>
          </w:tcPr>
          <w:p>
            <w:r/>
            <w:r>
              <w:rPr>
                <w:sz w:val="17"/>
              </w:rPr>
              <w:t>That limit is 0.05 mg/kg. The soil to groundwater criterion is 0.02 mg/kg. A non-detect at a limit above the criterion does not demonstrate compliance, and ODEQ says so expressly in the application notes. Vinyl chloride is the terminal daughter product of the tetrachloroethene degradation we can see in groundwater, so this is not a theoretical gap. Selected ion monitoring reaches roughly 2 ug/kg on ten business days' turnaround and should be run on the AOC-2 and AOC-3 samples.</w:t>
            </w:r>
          </w:p>
        </w:tc>
      </w:tr>
      <w:tr>
        <w:tc>
          <w:tcPr>
            <w:tcW w:type="dxa" w:w="3456"/>
          </w:tcPr>
          <w:p>
            <w:r/>
            <w:r>
              <w:rPr>
                <w:sz w:val="17"/>
              </w:rPr>
              <w:t>TW-03 volatile aliquot analysed seventeen days after collection</w:t>
            </w:r>
          </w:p>
        </w:tc>
        <w:tc>
          <w:tcPr>
            <w:tcW w:type="dxa" w:w="6624"/>
          </w:tcPr>
          <w:p>
            <w:r/>
            <w:r>
              <w:rPr>
                <w:sz w:val="17"/>
              </w:rPr>
              <w:t>Three days beyond holding time. Detected results carry a J qualifier and are biased low. TW-03 still exceeds the GW-2 criterion for tetrachloroethene as reported, so the exceedance stands, but the magnitude is understated and TW-03 cannot be used to bound the plume. Re-collect at the first monitoring round.</w:t>
            </w:r>
          </w:p>
        </w:tc>
      </w:tr>
      <w:tr>
        <w:tc>
          <w:tcPr>
            <w:tcW w:type="dxa" w:w="3456"/>
          </w:tcPr>
          <w:p>
            <w:r/>
            <w:r>
              <w:rPr>
                <w:sz w:val="17"/>
              </w:rPr>
              <w:t>Field duplicate FD-01, lead</w:t>
            </w:r>
          </w:p>
        </w:tc>
        <w:tc>
          <w:tcPr>
            <w:tcW w:type="dxa" w:w="6624"/>
          </w:tcPr>
          <w:p>
            <w:r/>
            <w:r>
              <w:rPr>
                <w:sz w:val="17"/>
              </w:rPr>
              <w:t>Relative percent difference of 78 percent against a thirty percent limit, with laboratory control recoveries in range. This is fill heterogeneity rather than laboratory performance. It does not change any conclusion, because both the parent and the duplicate exceed the same criteria, but it means single lead results should not be used to draw a tight excavation boundary. We have allowed for that in the confirmation sampling.</w:t>
            </w:r>
          </w:p>
        </w:tc>
      </w:tr>
    </w:tbl>
    <w:p/>
    <w:p>
      <w:pPr>
        <w:spacing w:before="200" w:after="60"/>
      </w:pPr>
      <w:r>
        <w:rPr>
          <w:b/>
          <w:color w:val="1F4E3D"/>
          <w:sz w:val="23"/>
        </w:rPr>
        <w:t>4.  What exceeds, and where</w:t>
      </w:r>
    </w:p>
    <w:p>
      <w:r>
        <w:t>After the qualifications above, 44 soil results exceed an applicable criterion. They involve 7 constituents and fall entirely within AOC-1, AOC-2 and AOC-3. Maximum concentrations by area are below; the full screening table is attached.</w:t>
      </w:r>
    </w:p>
    <w:tbl>
      <w:tblPr>
        <w:tblStyle w:val="LightGrid-Accent3"/>
        <w:tblW w:type="auto" w:w="0"/>
        <w:tblLook w:firstColumn="1" w:firstRow="1" w:lastColumn="0" w:lastRow="0" w:noHBand="0" w:noVBand="1" w:val="04A0"/>
      </w:tblPr>
      <w:tblGrid>
        <w:gridCol w:w="1680"/>
        <w:gridCol w:w="1680"/>
        <w:gridCol w:w="1680"/>
        <w:gridCol w:w="1680"/>
        <w:gridCol w:w="1680"/>
        <w:gridCol w:w="1680"/>
      </w:tblGrid>
      <w:tr>
        <w:tc>
          <w:tcPr>
            <w:tcW w:type="dxa" w:w="1008"/>
          </w:tcPr>
          <w:p>
            <w:r/>
            <w:r>
              <w:rPr>
                <w:b/>
                <w:sz w:val="17"/>
              </w:rPr>
              <w:t>Area</w:t>
            </w:r>
          </w:p>
        </w:tc>
        <w:tc>
          <w:tcPr>
            <w:tcW w:type="dxa" w:w="2448"/>
          </w:tcPr>
          <w:p>
            <w:r/>
            <w:r>
              <w:rPr>
                <w:b/>
                <w:sz w:val="17"/>
              </w:rPr>
              <w:t>Constituent</w:t>
            </w:r>
          </w:p>
        </w:tc>
        <w:tc>
          <w:tcPr>
            <w:tcW w:type="dxa" w:w="1440"/>
          </w:tcPr>
          <w:p>
            <w:r/>
            <w:r>
              <w:rPr>
                <w:b/>
                <w:sz w:val="17"/>
              </w:rPr>
              <w:t>Max (mg/kg)</w:t>
            </w:r>
          </w:p>
        </w:tc>
        <w:tc>
          <w:tcPr>
            <w:tcW w:type="dxa" w:w="1440"/>
          </w:tcPr>
          <w:p>
            <w:r/>
            <w:r>
              <w:rPr>
                <w:b/>
                <w:sz w:val="17"/>
              </w:rPr>
              <w:t>Industrial DC</w:t>
            </w:r>
          </w:p>
        </w:tc>
        <w:tc>
          <w:tcPr>
            <w:tcW w:type="dxa" w:w="1440"/>
          </w:tcPr>
          <w:p>
            <w:r/>
            <w:r>
              <w:rPr>
                <w:b/>
                <w:sz w:val="17"/>
              </w:rPr>
              <w:t>Soil to GW</w:t>
            </w:r>
          </w:p>
        </w:tc>
        <w:tc>
          <w:tcPr>
            <w:tcW w:type="dxa" w:w="2304"/>
          </w:tcPr>
          <w:p>
            <w:r/>
            <w:r>
              <w:rPr>
                <w:b/>
                <w:sz w:val="17"/>
              </w:rPr>
              <w:t>Pathway exceeded</w:t>
            </w:r>
          </w:p>
        </w:tc>
      </w:tr>
      <w:tr>
        <w:tc>
          <w:tcPr>
            <w:tcW w:type="dxa" w:w="1008"/>
          </w:tcPr>
          <w:p>
            <w:r/>
            <w:r>
              <w:rPr>
                <w:sz w:val="17"/>
              </w:rPr>
              <w:t>AOC-1</w:t>
            </w:r>
          </w:p>
        </w:tc>
        <w:tc>
          <w:tcPr>
            <w:tcW w:type="dxa" w:w="2448"/>
          </w:tcPr>
          <w:p>
            <w:r/>
            <w:r>
              <w:rPr>
                <w:sz w:val="17"/>
              </w:rPr>
              <w:t>Cadmium</w:t>
            </w:r>
          </w:p>
        </w:tc>
        <w:tc>
          <w:tcPr>
            <w:tcW w:type="dxa" w:w="1440"/>
          </w:tcPr>
          <w:p>
            <w:r/>
            <w:r>
              <w:rPr>
                <w:sz w:val="17"/>
              </w:rPr>
              <w:t>219</w:t>
            </w:r>
          </w:p>
        </w:tc>
        <w:tc>
          <w:tcPr>
            <w:tcW w:type="dxa" w:w="1440"/>
          </w:tcPr>
          <w:p>
            <w:r/>
            <w:r>
              <w:rPr>
                <w:sz w:val="17"/>
              </w:rPr>
              <w:t>170</w:t>
            </w:r>
          </w:p>
        </w:tc>
        <w:tc>
          <w:tcPr>
            <w:tcW w:type="dxa" w:w="1440"/>
          </w:tcPr>
          <w:p>
            <w:r/>
            <w:r>
              <w:rPr>
                <w:sz w:val="17"/>
              </w:rPr>
              <w:t>3</w:t>
            </w:r>
          </w:p>
        </w:tc>
        <w:tc>
          <w:tcPr>
            <w:tcW w:type="dxa" w:w="2304"/>
          </w:tcPr>
          <w:p>
            <w:r/>
            <w:r>
              <w:rPr>
                <w:sz w:val="17"/>
              </w:rPr>
              <w:t>direct contact and leaching</w:t>
            </w:r>
          </w:p>
        </w:tc>
      </w:tr>
      <w:tr>
        <w:tc>
          <w:tcPr>
            <w:tcW w:type="dxa" w:w="1008"/>
          </w:tcPr>
          <w:p>
            <w:r/>
            <w:r>
              <w:rPr>
                <w:sz w:val="17"/>
              </w:rPr>
              <w:t>AOC-1</w:t>
            </w:r>
          </w:p>
        </w:tc>
        <w:tc>
          <w:tcPr>
            <w:tcW w:type="dxa" w:w="2448"/>
          </w:tcPr>
          <w:p>
            <w:r/>
            <w:r>
              <w:rPr>
                <w:sz w:val="17"/>
              </w:rPr>
              <w:t>Chromium, total</w:t>
            </w:r>
          </w:p>
        </w:tc>
        <w:tc>
          <w:tcPr>
            <w:tcW w:type="dxa" w:w="1440"/>
          </w:tcPr>
          <w:p>
            <w:r/>
            <w:r>
              <w:rPr>
                <w:sz w:val="17"/>
              </w:rPr>
              <w:t>1.09e+03</w:t>
            </w:r>
          </w:p>
        </w:tc>
        <w:tc>
          <w:tcPr>
            <w:tcW w:type="dxa" w:w="1440"/>
          </w:tcPr>
          <w:p>
            <w:r/>
            <w:r>
              <w:rPr>
                <w:sz w:val="17"/>
              </w:rPr>
              <w:t>800</w:t>
            </w:r>
          </w:p>
        </w:tc>
        <w:tc>
          <w:tcPr>
            <w:tcW w:type="dxa" w:w="1440"/>
          </w:tcPr>
          <w:p>
            <w:r/>
            <w:r>
              <w:rPr>
                <w:sz w:val="17"/>
              </w:rPr>
              <w:t>100</w:t>
            </w:r>
          </w:p>
        </w:tc>
        <w:tc>
          <w:tcPr>
            <w:tcW w:type="dxa" w:w="2304"/>
          </w:tcPr>
          <w:p>
            <w:r/>
            <w:r>
              <w:rPr>
                <w:sz w:val="17"/>
              </w:rPr>
              <w:t>direct contact and leaching</w:t>
            </w:r>
          </w:p>
        </w:tc>
      </w:tr>
      <w:tr>
        <w:tc>
          <w:tcPr>
            <w:tcW w:type="dxa" w:w="1008"/>
          </w:tcPr>
          <w:p>
            <w:r/>
            <w:r>
              <w:rPr>
                <w:sz w:val="17"/>
              </w:rPr>
              <w:t>AOC-1</w:t>
            </w:r>
          </w:p>
        </w:tc>
        <w:tc>
          <w:tcPr>
            <w:tcW w:type="dxa" w:w="2448"/>
          </w:tcPr>
          <w:p>
            <w:r/>
            <w:r>
              <w:rPr>
                <w:sz w:val="17"/>
              </w:rPr>
              <w:t>Lead</w:t>
            </w:r>
          </w:p>
        </w:tc>
        <w:tc>
          <w:tcPr>
            <w:tcW w:type="dxa" w:w="1440"/>
          </w:tcPr>
          <w:p>
            <w:r/>
            <w:r>
              <w:rPr>
                <w:sz w:val="17"/>
              </w:rPr>
              <w:t>1.36e+03</w:t>
            </w:r>
          </w:p>
        </w:tc>
        <w:tc>
          <w:tcPr>
            <w:tcW w:type="dxa" w:w="1440"/>
          </w:tcPr>
          <w:p>
            <w:r/>
            <w:r>
              <w:rPr>
                <w:sz w:val="17"/>
              </w:rPr>
              <w:t>800</w:t>
            </w:r>
          </w:p>
        </w:tc>
        <w:tc>
          <w:tcPr>
            <w:tcW w:type="dxa" w:w="1440"/>
          </w:tcPr>
          <w:p>
            <w:r/>
            <w:r>
              <w:rPr>
                <w:sz w:val="17"/>
              </w:rPr>
              <w:t>200</w:t>
            </w:r>
          </w:p>
        </w:tc>
        <w:tc>
          <w:tcPr>
            <w:tcW w:type="dxa" w:w="2304"/>
          </w:tcPr>
          <w:p>
            <w:r/>
            <w:r>
              <w:rPr>
                <w:sz w:val="17"/>
              </w:rPr>
              <w:t>direct contact and leaching</w:t>
            </w:r>
          </w:p>
        </w:tc>
      </w:tr>
      <w:tr>
        <w:tc>
          <w:tcPr>
            <w:tcW w:type="dxa" w:w="1008"/>
          </w:tcPr>
          <w:p>
            <w:r/>
            <w:r>
              <w:rPr>
                <w:sz w:val="17"/>
              </w:rPr>
              <w:t>AOC-1</w:t>
            </w:r>
          </w:p>
        </w:tc>
        <w:tc>
          <w:tcPr>
            <w:tcW w:type="dxa" w:w="2448"/>
          </w:tcPr>
          <w:p>
            <w:r/>
            <w:r>
              <w:rPr>
                <w:sz w:val="17"/>
              </w:rPr>
              <w:t>Nickel</w:t>
            </w:r>
          </w:p>
        </w:tc>
        <w:tc>
          <w:tcPr>
            <w:tcW w:type="dxa" w:w="1440"/>
          </w:tcPr>
          <w:p>
            <w:r/>
            <w:r>
              <w:rPr>
                <w:sz w:val="17"/>
              </w:rPr>
              <w:t>312</w:t>
            </w:r>
          </w:p>
        </w:tc>
        <w:tc>
          <w:tcPr>
            <w:tcW w:type="dxa" w:w="1440"/>
          </w:tcPr>
          <w:p>
            <w:r/>
            <w:r>
              <w:rPr>
                <w:sz w:val="17"/>
              </w:rPr>
              <w:t>3600</w:t>
            </w:r>
          </w:p>
        </w:tc>
        <w:tc>
          <w:tcPr>
            <w:tcW w:type="dxa" w:w="1440"/>
          </w:tcPr>
          <w:p>
            <w:r/>
            <w:r>
              <w:rPr>
                <w:sz w:val="17"/>
              </w:rPr>
              <w:t>130</w:t>
            </w:r>
          </w:p>
        </w:tc>
        <w:tc>
          <w:tcPr>
            <w:tcW w:type="dxa" w:w="2304"/>
          </w:tcPr>
          <w:p>
            <w:r/>
            <w:r>
              <w:rPr>
                <w:sz w:val="17"/>
              </w:rPr>
              <w:t>leaching</w:t>
            </w:r>
          </w:p>
        </w:tc>
      </w:tr>
      <w:tr>
        <w:tc>
          <w:tcPr>
            <w:tcW w:type="dxa" w:w="1008"/>
          </w:tcPr>
          <w:p>
            <w:r/>
            <w:r>
              <w:rPr>
                <w:sz w:val="17"/>
              </w:rPr>
              <w:t>AOC-2</w:t>
            </w:r>
          </w:p>
        </w:tc>
        <w:tc>
          <w:tcPr>
            <w:tcW w:type="dxa" w:w="2448"/>
          </w:tcPr>
          <w:p>
            <w:r/>
            <w:r>
              <w:rPr>
                <w:sz w:val="17"/>
              </w:rPr>
              <w:t>Tetrachloroethene</w:t>
            </w:r>
          </w:p>
        </w:tc>
        <w:tc>
          <w:tcPr>
            <w:tcW w:type="dxa" w:w="1440"/>
          </w:tcPr>
          <w:p>
            <w:r/>
            <w:r>
              <w:rPr>
                <w:sz w:val="17"/>
              </w:rPr>
              <w:t>178</w:t>
            </w:r>
          </w:p>
        </w:tc>
        <w:tc>
          <w:tcPr>
            <w:tcW w:type="dxa" w:w="1440"/>
          </w:tcPr>
          <w:p>
            <w:r/>
            <w:r>
              <w:rPr>
                <w:sz w:val="17"/>
              </w:rPr>
              <w:t>110</w:t>
            </w:r>
          </w:p>
        </w:tc>
        <w:tc>
          <w:tcPr>
            <w:tcW w:type="dxa" w:w="1440"/>
          </w:tcPr>
          <w:p>
            <w:r/>
            <w:r>
              <w:rPr>
                <w:sz w:val="17"/>
              </w:rPr>
              <w:t>0.6</w:t>
            </w:r>
          </w:p>
        </w:tc>
        <w:tc>
          <w:tcPr>
            <w:tcW w:type="dxa" w:w="2304"/>
          </w:tcPr>
          <w:p>
            <w:r/>
            <w:r>
              <w:rPr>
                <w:sz w:val="17"/>
              </w:rPr>
              <w:t>direct contact and leaching</w:t>
            </w:r>
          </w:p>
        </w:tc>
      </w:tr>
      <w:tr>
        <w:tc>
          <w:tcPr>
            <w:tcW w:type="dxa" w:w="1008"/>
          </w:tcPr>
          <w:p>
            <w:r/>
            <w:r>
              <w:rPr>
                <w:sz w:val="17"/>
              </w:rPr>
              <w:t>AOC-2</w:t>
            </w:r>
          </w:p>
        </w:tc>
        <w:tc>
          <w:tcPr>
            <w:tcW w:type="dxa" w:w="2448"/>
          </w:tcPr>
          <w:p>
            <w:r/>
            <w:r>
              <w:rPr>
                <w:sz w:val="17"/>
              </w:rPr>
              <w:t>Trichloroethene</w:t>
            </w:r>
          </w:p>
        </w:tc>
        <w:tc>
          <w:tcPr>
            <w:tcW w:type="dxa" w:w="1440"/>
          </w:tcPr>
          <w:p>
            <w:r/>
            <w:r>
              <w:rPr>
                <w:sz w:val="17"/>
              </w:rPr>
              <w:t>3.95</w:t>
            </w:r>
          </w:p>
        </w:tc>
        <w:tc>
          <w:tcPr>
            <w:tcW w:type="dxa" w:w="1440"/>
          </w:tcPr>
          <w:p>
            <w:r/>
            <w:r>
              <w:rPr>
                <w:sz w:val="17"/>
              </w:rPr>
              <w:t>28</w:t>
            </w:r>
          </w:p>
        </w:tc>
        <w:tc>
          <w:tcPr>
            <w:tcW w:type="dxa" w:w="1440"/>
          </w:tcPr>
          <w:p>
            <w:r/>
            <w:r>
              <w:rPr>
                <w:sz w:val="17"/>
              </w:rPr>
              <w:t>0.3</w:t>
            </w:r>
          </w:p>
        </w:tc>
        <w:tc>
          <w:tcPr>
            <w:tcW w:type="dxa" w:w="2304"/>
          </w:tcPr>
          <w:p>
            <w:r/>
            <w:r>
              <w:rPr>
                <w:sz w:val="17"/>
              </w:rPr>
              <w:t>leaching</w:t>
            </w:r>
          </w:p>
        </w:tc>
      </w:tr>
      <w:tr>
        <w:tc>
          <w:tcPr>
            <w:tcW w:type="dxa" w:w="1008"/>
          </w:tcPr>
          <w:p>
            <w:r/>
            <w:r>
              <w:rPr>
                <w:sz w:val="17"/>
              </w:rPr>
              <w:t>AOC-2</w:t>
            </w:r>
          </w:p>
        </w:tc>
        <w:tc>
          <w:tcPr>
            <w:tcW w:type="dxa" w:w="2448"/>
          </w:tcPr>
          <w:p>
            <w:r/>
            <w:r>
              <w:rPr>
                <w:sz w:val="17"/>
              </w:rPr>
              <w:t>cis-1,2-Dichloroethene</w:t>
            </w:r>
          </w:p>
        </w:tc>
        <w:tc>
          <w:tcPr>
            <w:tcW w:type="dxa" w:w="1440"/>
          </w:tcPr>
          <w:p>
            <w:r/>
            <w:r>
              <w:rPr>
                <w:sz w:val="17"/>
              </w:rPr>
              <w:t>11.4</w:t>
            </w:r>
          </w:p>
        </w:tc>
        <w:tc>
          <w:tcPr>
            <w:tcW w:type="dxa" w:w="1440"/>
          </w:tcPr>
          <w:p>
            <w:r/>
            <w:r>
              <w:rPr>
                <w:sz w:val="17"/>
              </w:rPr>
              <w:t>720</w:t>
            </w:r>
          </w:p>
        </w:tc>
        <w:tc>
          <w:tcPr>
            <w:tcW w:type="dxa" w:w="1440"/>
          </w:tcPr>
          <w:p>
            <w:r/>
            <w:r>
              <w:rPr>
                <w:sz w:val="17"/>
              </w:rPr>
              <w:t>4</w:t>
            </w:r>
          </w:p>
        </w:tc>
        <w:tc>
          <w:tcPr>
            <w:tcW w:type="dxa" w:w="2304"/>
          </w:tcPr>
          <w:p>
            <w:r/>
            <w:r>
              <w:rPr>
                <w:sz w:val="17"/>
              </w:rPr>
              <w:t>leaching</w:t>
            </w:r>
          </w:p>
        </w:tc>
      </w:tr>
      <w:tr>
        <w:tc>
          <w:tcPr>
            <w:tcW w:type="dxa" w:w="1008"/>
          </w:tcPr>
          <w:p>
            <w:r/>
            <w:r>
              <w:rPr>
                <w:sz w:val="17"/>
              </w:rPr>
              <w:t>AOC-3</w:t>
            </w:r>
          </w:p>
        </w:tc>
        <w:tc>
          <w:tcPr>
            <w:tcW w:type="dxa" w:w="2448"/>
          </w:tcPr>
          <w:p>
            <w:r/>
            <w:r>
              <w:rPr>
                <w:sz w:val="17"/>
              </w:rPr>
              <w:t>Lead</w:t>
            </w:r>
          </w:p>
        </w:tc>
        <w:tc>
          <w:tcPr>
            <w:tcW w:type="dxa" w:w="1440"/>
          </w:tcPr>
          <w:p>
            <w:r/>
            <w:r>
              <w:rPr>
                <w:sz w:val="17"/>
              </w:rPr>
              <w:t>205</w:t>
            </w:r>
          </w:p>
        </w:tc>
        <w:tc>
          <w:tcPr>
            <w:tcW w:type="dxa" w:w="1440"/>
          </w:tcPr>
          <w:p>
            <w:r/>
            <w:r>
              <w:rPr>
                <w:sz w:val="17"/>
              </w:rPr>
              <w:t>800</w:t>
            </w:r>
          </w:p>
        </w:tc>
        <w:tc>
          <w:tcPr>
            <w:tcW w:type="dxa" w:w="1440"/>
          </w:tcPr>
          <w:p>
            <w:r/>
            <w:r>
              <w:rPr>
                <w:sz w:val="17"/>
              </w:rPr>
              <w:t>200</w:t>
            </w:r>
          </w:p>
        </w:tc>
        <w:tc>
          <w:tcPr>
            <w:tcW w:type="dxa" w:w="2304"/>
          </w:tcPr>
          <w:p>
            <w:r/>
            <w:r>
              <w:rPr>
                <w:sz w:val="17"/>
              </w:rPr>
              <w:t>leaching</w:t>
            </w:r>
          </w:p>
        </w:tc>
      </w:tr>
      <w:tr>
        <w:tc>
          <w:tcPr>
            <w:tcW w:type="dxa" w:w="1008"/>
          </w:tcPr>
          <w:p>
            <w:r/>
            <w:r>
              <w:rPr>
                <w:sz w:val="17"/>
              </w:rPr>
              <w:t>AOC-3</w:t>
            </w:r>
          </w:p>
        </w:tc>
        <w:tc>
          <w:tcPr>
            <w:tcW w:type="dxa" w:w="2448"/>
          </w:tcPr>
          <w:p>
            <w:r/>
            <w:r>
              <w:rPr>
                <w:sz w:val="17"/>
              </w:rPr>
              <w:t>Tetrachloroethene</w:t>
            </w:r>
          </w:p>
        </w:tc>
        <w:tc>
          <w:tcPr>
            <w:tcW w:type="dxa" w:w="1440"/>
          </w:tcPr>
          <w:p>
            <w:r/>
            <w:r>
              <w:rPr>
                <w:sz w:val="17"/>
              </w:rPr>
              <w:t>3.43</w:t>
            </w:r>
          </w:p>
        </w:tc>
        <w:tc>
          <w:tcPr>
            <w:tcW w:type="dxa" w:w="1440"/>
          </w:tcPr>
          <w:p>
            <w:r/>
            <w:r>
              <w:rPr>
                <w:sz w:val="17"/>
              </w:rPr>
              <w:t>110</w:t>
            </w:r>
          </w:p>
        </w:tc>
        <w:tc>
          <w:tcPr>
            <w:tcW w:type="dxa" w:w="1440"/>
          </w:tcPr>
          <w:p>
            <w:r/>
            <w:r>
              <w:rPr>
                <w:sz w:val="17"/>
              </w:rPr>
              <w:t>0.6</w:t>
            </w:r>
          </w:p>
        </w:tc>
        <w:tc>
          <w:tcPr>
            <w:tcW w:type="dxa" w:w="2304"/>
          </w:tcPr>
          <w:p>
            <w:r/>
            <w:r>
              <w:rPr>
                <w:sz w:val="17"/>
              </w:rPr>
              <w:t>leaching</w:t>
            </w:r>
          </w:p>
        </w:tc>
      </w:tr>
      <w:tr>
        <w:tc>
          <w:tcPr>
            <w:tcW w:type="dxa" w:w="1008"/>
          </w:tcPr>
          <w:p>
            <w:r/>
            <w:r>
              <w:rPr>
                <w:sz w:val="17"/>
              </w:rPr>
              <w:t>AOC-3</w:t>
            </w:r>
          </w:p>
        </w:tc>
        <w:tc>
          <w:tcPr>
            <w:tcW w:type="dxa" w:w="2448"/>
          </w:tcPr>
          <w:p>
            <w:r/>
            <w:r>
              <w:rPr>
                <w:sz w:val="17"/>
              </w:rPr>
              <w:t>Trichloroethene</w:t>
            </w:r>
          </w:p>
        </w:tc>
        <w:tc>
          <w:tcPr>
            <w:tcW w:type="dxa" w:w="1440"/>
          </w:tcPr>
          <w:p>
            <w:r/>
            <w:r>
              <w:rPr>
                <w:sz w:val="17"/>
              </w:rPr>
              <w:t>0.628</w:t>
            </w:r>
          </w:p>
        </w:tc>
        <w:tc>
          <w:tcPr>
            <w:tcW w:type="dxa" w:w="1440"/>
          </w:tcPr>
          <w:p>
            <w:r/>
            <w:r>
              <w:rPr>
                <w:sz w:val="17"/>
              </w:rPr>
              <w:t>28</w:t>
            </w:r>
          </w:p>
        </w:tc>
        <w:tc>
          <w:tcPr>
            <w:tcW w:type="dxa" w:w="1440"/>
          </w:tcPr>
          <w:p>
            <w:r/>
            <w:r>
              <w:rPr>
                <w:sz w:val="17"/>
              </w:rPr>
              <w:t>0.3</w:t>
            </w:r>
          </w:p>
        </w:tc>
        <w:tc>
          <w:tcPr>
            <w:tcW w:type="dxa" w:w="2304"/>
          </w:tcPr>
          <w:p>
            <w:r/>
            <w:r>
              <w:rPr>
                <w:sz w:val="17"/>
              </w:rPr>
              <w:t>leaching</w:t>
            </w:r>
          </w:p>
        </w:tc>
      </w:tr>
    </w:tbl>
    <w:p/>
    <w:p>
      <w:r>
        <w:t>Two observations. First, the leaching pathway drives this site: only 4 area and constituent combinations exceed the industrial direct contact levels, while every listed constituent exceeds its soil to groundwater level. Second, AOC-4 is clean. Neither boring in the former tank basin found anything above criteria, which is worth noting because AOC-4 is the one area the indemnity does not cover.</w:t>
      </w:r>
    </w:p>
    <w:p>
      <w:r>
        <w:t>In groundwater, tetrachloroethene exceeds the GW-2 vapour criterion at TW-02 and TW-03. Nothing else exceeds an applicable criterion in any well.</w:t>
      </w:r>
    </w:p>
    <w:tbl>
      <w:tblPr>
        <w:tblStyle w:val="LightGrid-Accent3"/>
        <w:tblW w:type="auto" w:w="0"/>
        <w:tblLook w:firstColumn="1" w:firstRow="1" w:lastColumn="0" w:lastRow="0" w:noHBand="0" w:noVBand="1" w:val="04A0"/>
      </w:tblPr>
      <w:tblGrid>
        <w:gridCol w:w="2016"/>
        <w:gridCol w:w="2016"/>
        <w:gridCol w:w="2016"/>
        <w:gridCol w:w="2016"/>
        <w:gridCol w:w="2016"/>
      </w:tblGrid>
      <w:tr>
        <w:tc>
          <w:tcPr>
            <w:tcW w:type="dxa" w:w="1152"/>
          </w:tcPr>
          <w:p>
            <w:r/>
            <w:r>
              <w:rPr>
                <w:b/>
                <w:sz w:val="17"/>
              </w:rPr>
              <w:t>Well</w:t>
            </w:r>
          </w:p>
        </w:tc>
        <w:tc>
          <w:tcPr>
            <w:tcW w:type="dxa" w:w="2448"/>
          </w:tcPr>
          <w:p>
            <w:r/>
            <w:r>
              <w:rPr>
                <w:b/>
                <w:sz w:val="17"/>
              </w:rPr>
              <w:t>Constituent</w:t>
            </w:r>
          </w:p>
        </w:tc>
        <w:tc>
          <w:tcPr>
            <w:tcW w:type="dxa" w:w="1872"/>
          </w:tcPr>
          <w:p>
            <w:r/>
            <w:r>
              <w:rPr>
                <w:b/>
                <w:sz w:val="17"/>
              </w:rPr>
              <w:t>Result (ug/L)</w:t>
            </w:r>
          </w:p>
        </w:tc>
        <w:tc>
          <w:tcPr>
            <w:tcW w:type="dxa" w:w="1728"/>
          </w:tcPr>
          <w:p>
            <w:r/>
            <w:r>
              <w:rPr>
                <w:b/>
                <w:sz w:val="17"/>
              </w:rPr>
              <w:t>GW-2 (ug/L)</w:t>
            </w:r>
          </w:p>
        </w:tc>
        <w:tc>
          <w:tcPr>
            <w:tcW w:type="dxa" w:w="2880"/>
          </w:tcPr>
          <w:p>
            <w:r/>
            <w:r>
              <w:rPr>
                <w:b/>
                <w:sz w:val="17"/>
              </w:rPr>
              <w:t>Note</w:t>
            </w:r>
          </w:p>
        </w:tc>
      </w:tr>
      <w:tr>
        <w:tc>
          <w:tcPr>
            <w:tcW w:type="dxa" w:w="1152"/>
          </w:tcPr>
          <w:p>
            <w:r/>
            <w:r>
              <w:rPr>
                <w:sz w:val="17"/>
              </w:rPr>
              <w:t>TW-02</w:t>
            </w:r>
          </w:p>
        </w:tc>
        <w:tc>
          <w:tcPr>
            <w:tcW w:type="dxa" w:w="2448"/>
          </w:tcPr>
          <w:p>
            <w:r/>
            <w:r>
              <w:rPr>
                <w:sz w:val="17"/>
              </w:rPr>
              <w:t>Tetrachloroethene</w:t>
            </w:r>
          </w:p>
        </w:tc>
        <w:tc>
          <w:tcPr>
            <w:tcW w:type="dxa" w:w="1872"/>
          </w:tcPr>
          <w:p>
            <w:r/>
            <w:r>
              <w:rPr>
                <w:sz w:val="17"/>
              </w:rPr>
              <w:t>1,230</w:t>
            </w:r>
          </w:p>
        </w:tc>
        <w:tc>
          <w:tcPr>
            <w:tcW w:type="dxa" w:w="1728"/>
          </w:tcPr>
          <w:p>
            <w:r/>
            <w:r>
              <w:rPr>
                <w:sz w:val="17"/>
              </w:rPr>
              <w:t>300</w:t>
            </w:r>
          </w:p>
        </w:tc>
        <w:tc>
          <w:tcPr>
            <w:tcW w:type="dxa" w:w="2880"/>
          </w:tcPr>
          <w:p>
            <w:r/>
            <w:r>
              <w:rPr>
                <w:sz w:val="17"/>
              </w:rPr>
            </w:r>
          </w:p>
        </w:tc>
      </w:tr>
      <w:tr>
        <w:tc>
          <w:tcPr>
            <w:tcW w:type="dxa" w:w="1152"/>
          </w:tcPr>
          <w:p>
            <w:r/>
            <w:r>
              <w:rPr>
                <w:sz w:val="17"/>
              </w:rPr>
              <w:t>TW-03</w:t>
            </w:r>
          </w:p>
        </w:tc>
        <w:tc>
          <w:tcPr>
            <w:tcW w:type="dxa" w:w="2448"/>
          </w:tcPr>
          <w:p>
            <w:r/>
            <w:r>
              <w:rPr>
                <w:sz w:val="17"/>
              </w:rPr>
              <w:t>Tetrachloroethene</w:t>
            </w:r>
          </w:p>
        </w:tc>
        <w:tc>
          <w:tcPr>
            <w:tcW w:type="dxa" w:w="1872"/>
          </w:tcPr>
          <w:p>
            <w:r/>
            <w:r>
              <w:rPr>
                <w:sz w:val="17"/>
              </w:rPr>
              <w:t>468</w:t>
            </w:r>
          </w:p>
        </w:tc>
        <w:tc>
          <w:tcPr>
            <w:tcW w:type="dxa" w:w="1728"/>
          </w:tcPr>
          <w:p>
            <w:r/>
            <w:r>
              <w:rPr>
                <w:sz w:val="17"/>
              </w:rPr>
              <w:t>300</w:t>
            </w:r>
          </w:p>
        </w:tc>
        <w:tc>
          <w:tcPr>
            <w:tcW w:type="dxa" w:w="2880"/>
          </w:tcPr>
          <w:p>
            <w:r/>
            <w:r>
              <w:rPr>
                <w:sz w:val="17"/>
              </w:rPr>
              <w:t>Estimated, holding time exceedance</w:t>
            </w:r>
          </w:p>
        </w:tc>
      </w:tr>
    </w:tbl>
    <w:p/>
    <w:p>
      <w:r>
        <w:t>Because the planned warehouse footprint covers the east yard and part of the north yard, both of these sit directly beneath the building. That is what triggers the vapour intrusion work.</w:t>
      </w:r>
    </w:p>
    <w:p>
      <w:pPr>
        <w:spacing w:before="200" w:after="60"/>
      </w:pPr>
      <w:r>
        <w:rPr>
          <w:b/>
          <w:color w:val="1F4E3D"/>
          <w:sz w:val="23"/>
        </w:rPr>
        <w:t>5.  Conditions we have set aside</w:t>
      </w:r>
    </w:p>
    <w:p>
      <w:r>
        <w:rPr>
          <w:b/>
        </w:rPr>
        <w:t xml:space="preserve">Arsenic. </w:t>
      </w:r>
      <w:r>
        <w:t>Arsenic was detected in every soil sample between roughly 5 and 17 mg/kg. The highest results are at SB-12, the upgradient reference location, where 16.6 mg/kg exceeds the 15 mg/kg leaching criterion. The ODEQ Brayton Lowland background study reports arsenic in native soils from 4 to 22 mg/kg. Every result on this property falls inside that range, including the ones at the source areas, and the highest is at the location furthest from any of them. This is the parent material, not a release, and ODEQ's guidance says so expressly. No action.</w:t>
      </w:r>
    </w:p>
    <w:p>
      <w:r>
        <w:rPr>
          <w:b/>
        </w:rPr>
        <w:t xml:space="preserve">Groundwater metals and the remaining volatiles. </w:t>
      </w:r>
      <w:r>
        <w:t>Chromium and lead at TW-01 and the trichloroethene, dichloroethene and vinyl chloride results at TW-02 and TW-03 are all below the applicable GW-2 and GW-3 criteria. They exceed GW-1, which does not apply here. We would expect a reviewer to ask about them and have listed them in the attached table for that reason.</w:t>
      </w:r>
    </w:p>
    <w:p>
      <w:r>
        <w:rPr>
          <w:b/>
        </w:rPr>
        <w:t xml:space="preserve">Methylene chloride. </w:t>
      </w:r>
      <w:r>
        <w:t>Set aside as laboratory blank contamination, as described in section 3.</w:t>
      </w:r>
    </w:p>
    <w:p>
      <w:pPr>
        <w:spacing w:before="200" w:after="60"/>
      </w:pPr>
      <w:r>
        <w:rPr>
          <w:b/>
          <w:color w:val="1F4E3D"/>
          <w:sz w:val="23"/>
        </w:rPr>
        <w:t>6.  Remedial approach</w:t>
      </w:r>
    </w:p>
    <w:p>
      <w:r>
        <w:t>We considered three approaches. The first is not achievable, the third is not protective, and the second is what we recommend.</w:t>
      </w:r>
    </w:p>
    <w:tbl>
      <w:tblPr>
        <w:tblStyle w:val="LightGrid-Accent3"/>
        <w:tblW w:type="auto" w:w="0"/>
        <w:tblLook w:firstColumn="1" w:firstRow="1" w:lastColumn="0" w:lastRow="0" w:noHBand="0" w:noVBand="1" w:val="04A0"/>
      </w:tblPr>
      <w:tblGrid>
        <w:gridCol w:w="3360"/>
        <w:gridCol w:w="3360"/>
        <w:gridCol w:w="3360"/>
      </w:tblGrid>
      <w:tr>
        <w:tc>
          <w:tcPr>
            <w:tcW w:type="dxa" w:w="3024"/>
          </w:tcPr>
          <w:p>
            <w:r/>
            <w:r>
              <w:rPr>
                <w:b/>
                <w:sz w:val="17"/>
              </w:rPr>
              <w:t>Approach</w:t>
            </w:r>
          </w:p>
        </w:tc>
        <w:tc>
          <w:tcPr>
            <w:tcW w:type="dxa" w:w="1872"/>
          </w:tcPr>
          <w:p>
            <w:r/>
            <w:r>
              <w:rPr>
                <w:b/>
                <w:sz w:val="17"/>
              </w:rPr>
              <w:t>Estimated cost</w:t>
            </w:r>
          </w:p>
        </w:tc>
        <w:tc>
          <w:tcPr>
            <w:tcW w:type="dxa" w:w="5184"/>
          </w:tcPr>
          <w:p>
            <w:r/>
            <w:r>
              <w:rPr>
                <w:b/>
                <w:sz w:val="17"/>
              </w:rPr>
              <w:t>Assessment</w:t>
            </w:r>
          </w:p>
        </w:tc>
      </w:tr>
      <w:tr>
        <w:tc>
          <w:tcPr>
            <w:tcW w:type="dxa" w:w="3024"/>
          </w:tcPr>
          <w:p>
            <w:r/>
            <w:r>
              <w:rPr>
                <w:sz w:val="17"/>
              </w:rPr>
              <w:t>Unrestricted closure: excavate to residential criteria and restore groundwater</w:t>
            </w:r>
          </w:p>
        </w:tc>
        <w:tc>
          <w:tcPr>
            <w:tcW w:type="dxa" w:w="1872"/>
          </w:tcPr>
          <w:p>
            <w:r/>
            <w:r>
              <w:rPr>
                <w:sz w:val="17"/>
              </w:rPr>
              <w:t>$563,193 plus groundwater remediation</w:t>
            </w:r>
          </w:p>
        </w:tc>
        <w:tc>
          <w:tcPr>
            <w:tcW w:type="dxa" w:w="5184"/>
          </w:tcPr>
          <w:p>
            <w:r/>
            <w:r>
              <w:rPr>
                <w:sz w:val="17"/>
              </w:rPr>
              <w:t>Not achievable at any cost we could defend. Tetrachloroethene persists in soil below the water table at AOC-2 and AOC-3 and cannot be removed by excavation, and the groundwater exceedance would remain. The cost shown is for the soil component alone and buys an outcome the site cannot reach.</w:t>
            </w:r>
          </w:p>
        </w:tc>
      </w:tr>
      <w:tr>
        <w:tc>
          <w:tcPr>
            <w:tcW w:type="dxa" w:w="3024"/>
          </w:tcPr>
          <w:p>
            <w:r/>
            <w:r>
              <w:rPr>
                <w:sz w:val="17"/>
              </w:rPr>
              <w:t>Targeted excavation above the water table, activity and use limitation, vapour intrusion evaluation and four quarters of monitoring</w:t>
            </w:r>
          </w:p>
        </w:tc>
        <w:tc>
          <w:tcPr>
            <w:tcW w:type="dxa" w:w="1872"/>
          </w:tcPr>
          <w:p>
            <w:r/>
            <w:r>
              <w:rPr>
                <w:sz w:val="17"/>
              </w:rPr>
              <w:t>$403,820</w:t>
            </w:r>
          </w:p>
        </w:tc>
        <w:tc>
          <w:tcPr>
            <w:tcW w:type="dxa" w:w="5184"/>
          </w:tcPr>
          <w:p>
            <w:r/>
            <w:r>
              <w:rPr>
                <w:sz w:val="17"/>
              </w:rPr>
              <w:t>Recommended. Removes the direct contact exceedances and the great majority of the leaching mass, manages the residual through the deed restriction, and answers the vapour question before the slab is designed.</w:t>
            </w:r>
          </w:p>
        </w:tc>
      </w:tr>
      <w:tr>
        <w:tc>
          <w:tcPr>
            <w:tcW w:type="dxa" w:w="3024"/>
          </w:tcPr>
          <w:p>
            <w:r/>
            <w:r>
              <w:rPr>
                <w:sz w:val="17"/>
              </w:rPr>
              <w:t>Activity and use limitation and monitoring only, no excavation</w:t>
            </w:r>
          </w:p>
        </w:tc>
        <w:tc>
          <w:tcPr>
            <w:tcW w:type="dxa" w:w="1872"/>
          </w:tcPr>
          <w:p>
            <w:r/>
            <w:r>
              <w:rPr>
                <w:sz w:val="17"/>
              </w:rPr>
              <w:t>$129,120</w:t>
            </w:r>
          </w:p>
        </w:tc>
        <w:tc>
          <w:tcPr>
            <w:tcW w:type="dxa" w:w="5184"/>
          </w:tcPr>
          <w:p>
            <w:r/>
            <w:r>
              <w:rPr>
                <w:sz w:val="17"/>
              </w:rPr>
              <w:t>Not protective. Lead, cadmium, chromium and tetrachloroethene exceed the industrial direct contact levels in shallow soil at four locations. A use limitation does not manage the construction worker receptor during the warehouse build, and ODEQ does not permit area averaging for that receptor.</w:t>
            </w:r>
          </w:p>
        </w:tc>
      </w:tr>
    </w:tbl>
    <w:p/>
    <w:p>
      <w:r>
        <w:t>The excavation is limited to 8 feet below grade at AOC-1 and AOC-2 and 10 feet at AOC-3. Water is first encountered between 9.9 and 10.8 feet. Excavating into the water table would require sheeting and a much larger dewatering and treatment effort for a marginal reduction in residual mass, and the residual is manageable through the use limitation and monitoring.</w:t>
      </w:r>
    </w:p>
    <w:tbl>
      <w:tblPr>
        <w:tblStyle w:val="LightGrid-Accent3"/>
        <w:tblW w:type="auto" w:w="0"/>
        <w:tblLook w:firstColumn="1" w:firstRow="1" w:lastColumn="0" w:lastRow="0" w:noHBand="0" w:noVBand="1" w:val="04A0"/>
      </w:tblPr>
      <w:tblGrid>
        <w:gridCol w:w="1680"/>
        <w:gridCol w:w="1680"/>
        <w:gridCol w:w="1680"/>
        <w:gridCol w:w="1680"/>
        <w:gridCol w:w="1680"/>
        <w:gridCol w:w="1680"/>
      </w:tblGrid>
      <w:tr>
        <w:tc>
          <w:tcPr>
            <w:tcW w:type="dxa" w:w="1152"/>
          </w:tcPr>
          <w:p>
            <w:r/>
            <w:r>
              <w:rPr>
                <w:b/>
                <w:sz w:val="17"/>
              </w:rPr>
              <w:t>Area</w:t>
            </w:r>
          </w:p>
        </w:tc>
        <w:tc>
          <w:tcPr>
            <w:tcW w:type="dxa" w:w="1728"/>
          </w:tcPr>
          <w:p>
            <w:r/>
            <w:r>
              <w:rPr>
                <w:b/>
                <w:sz w:val="17"/>
              </w:rPr>
              <w:t>Footprint</w:t>
            </w:r>
          </w:p>
        </w:tc>
        <w:tc>
          <w:tcPr>
            <w:tcW w:type="dxa" w:w="1584"/>
          </w:tcPr>
          <w:p>
            <w:r/>
            <w:r>
              <w:rPr>
                <w:b/>
                <w:sz w:val="17"/>
              </w:rPr>
              <w:t>Interval</w:t>
            </w:r>
          </w:p>
        </w:tc>
        <w:tc>
          <w:tcPr>
            <w:tcW w:type="dxa" w:w="1440"/>
          </w:tcPr>
          <w:p>
            <w:r/>
            <w:r>
              <w:rPr>
                <w:b/>
                <w:sz w:val="17"/>
              </w:rPr>
              <w:t>Thickness</w:t>
            </w:r>
          </w:p>
        </w:tc>
        <w:tc>
          <w:tcPr>
            <w:tcW w:type="dxa" w:w="2016"/>
          </w:tcPr>
          <w:p>
            <w:r/>
            <w:r>
              <w:rPr>
                <w:b/>
                <w:sz w:val="17"/>
              </w:rPr>
              <w:t>In-situ volume</w:t>
            </w:r>
          </w:p>
        </w:tc>
        <w:tc>
          <w:tcPr>
            <w:tcW w:type="dxa" w:w="2016"/>
          </w:tcPr>
          <w:p>
            <w:r/>
            <w:r>
              <w:rPr>
                <w:b/>
                <w:sz w:val="17"/>
              </w:rPr>
              <w:t>Tonnage</w:t>
            </w:r>
          </w:p>
        </w:tc>
      </w:tr>
      <w:tr>
        <w:tc>
          <w:tcPr>
            <w:tcW w:type="dxa" w:w="1152"/>
          </w:tcPr>
          <w:p>
            <w:r/>
            <w:r>
              <w:rPr>
                <w:sz w:val="17"/>
              </w:rPr>
              <w:t>AOC-1</w:t>
            </w:r>
          </w:p>
        </w:tc>
        <w:tc>
          <w:tcPr>
            <w:tcW w:type="dxa" w:w="1728"/>
          </w:tcPr>
          <w:p>
            <w:r/>
            <w:r>
              <w:rPr>
                <w:sz w:val="17"/>
              </w:rPr>
              <w:t>2,600 sq ft</w:t>
            </w:r>
          </w:p>
        </w:tc>
        <w:tc>
          <w:tcPr>
            <w:tcW w:type="dxa" w:w="1584"/>
          </w:tcPr>
          <w:p>
            <w:r/>
            <w:r>
              <w:rPr>
                <w:sz w:val="17"/>
              </w:rPr>
              <w:t>2-8 ft</w:t>
            </w:r>
          </w:p>
        </w:tc>
        <w:tc>
          <w:tcPr>
            <w:tcW w:type="dxa" w:w="1440"/>
          </w:tcPr>
          <w:p>
            <w:r/>
            <w:r>
              <w:rPr>
                <w:sz w:val="17"/>
              </w:rPr>
              <w:t>6 ft</w:t>
            </w:r>
          </w:p>
        </w:tc>
        <w:tc>
          <w:tcPr>
            <w:tcW w:type="dxa" w:w="2016"/>
          </w:tcPr>
          <w:p>
            <w:r/>
            <w:r>
              <w:rPr>
                <w:sz w:val="17"/>
              </w:rPr>
              <w:t>578 cy</w:t>
            </w:r>
          </w:p>
        </w:tc>
        <w:tc>
          <w:tcPr>
            <w:tcW w:type="dxa" w:w="2016"/>
          </w:tcPr>
          <w:p>
            <w:r/>
            <w:r>
              <w:rPr>
                <w:sz w:val="17"/>
              </w:rPr>
              <w:t>838 tons</w:t>
            </w:r>
          </w:p>
        </w:tc>
      </w:tr>
      <w:tr>
        <w:tc>
          <w:tcPr>
            <w:tcW w:type="dxa" w:w="1152"/>
          </w:tcPr>
          <w:p>
            <w:r/>
            <w:r>
              <w:rPr>
                <w:sz w:val="17"/>
              </w:rPr>
              <w:t>AOC-2</w:t>
            </w:r>
          </w:p>
        </w:tc>
        <w:tc>
          <w:tcPr>
            <w:tcW w:type="dxa" w:w="1728"/>
          </w:tcPr>
          <w:p>
            <w:r/>
            <w:r>
              <w:rPr>
                <w:sz w:val="17"/>
              </w:rPr>
              <w:t>1,200 sq ft</w:t>
            </w:r>
          </w:p>
        </w:tc>
        <w:tc>
          <w:tcPr>
            <w:tcW w:type="dxa" w:w="1584"/>
          </w:tcPr>
          <w:p>
            <w:r/>
            <w:r>
              <w:rPr>
                <w:sz w:val="17"/>
              </w:rPr>
              <w:t>2-8 ft</w:t>
            </w:r>
          </w:p>
        </w:tc>
        <w:tc>
          <w:tcPr>
            <w:tcW w:type="dxa" w:w="1440"/>
          </w:tcPr>
          <w:p>
            <w:r/>
            <w:r>
              <w:rPr>
                <w:sz w:val="17"/>
              </w:rPr>
              <w:t>6 ft</w:t>
            </w:r>
          </w:p>
        </w:tc>
        <w:tc>
          <w:tcPr>
            <w:tcW w:type="dxa" w:w="2016"/>
          </w:tcPr>
          <w:p>
            <w:r/>
            <w:r>
              <w:rPr>
                <w:sz w:val="17"/>
              </w:rPr>
              <w:t>267 cy</w:t>
            </w:r>
          </w:p>
        </w:tc>
        <w:tc>
          <w:tcPr>
            <w:tcW w:type="dxa" w:w="2016"/>
          </w:tcPr>
          <w:p>
            <w:r/>
            <w:r>
              <w:rPr>
                <w:sz w:val="17"/>
              </w:rPr>
              <w:t>387 tons</w:t>
            </w:r>
          </w:p>
        </w:tc>
      </w:tr>
      <w:tr>
        <w:tc>
          <w:tcPr>
            <w:tcW w:type="dxa" w:w="1152"/>
          </w:tcPr>
          <w:p>
            <w:r/>
            <w:r>
              <w:rPr>
                <w:sz w:val="17"/>
              </w:rPr>
              <w:t>AOC-3</w:t>
            </w:r>
          </w:p>
        </w:tc>
        <w:tc>
          <w:tcPr>
            <w:tcW w:type="dxa" w:w="1728"/>
          </w:tcPr>
          <w:p>
            <w:r/>
            <w:r>
              <w:rPr>
                <w:sz w:val="17"/>
              </w:rPr>
              <w:t>400 sq ft</w:t>
            </w:r>
          </w:p>
        </w:tc>
        <w:tc>
          <w:tcPr>
            <w:tcW w:type="dxa" w:w="1584"/>
          </w:tcPr>
          <w:p>
            <w:r/>
            <w:r>
              <w:rPr>
                <w:sz w:val="17"/>
              </w:rPr>
              <w:t>4-10 ft</w:t>
            </w:r>
          </w:p>
        </w:tc>
        <w:tc>
          <w:tcPr>
            <w:tcW w:type="dxa" w:w="1440"/>
          </w:tcPr>
          <w:p>
            <w:r/>
            <w:r>
              <w:rPr>
                <w:sz w:val="17"/>
              </w:rPr>
              <w:t>6 ft</w:t>
            </w:r>
          </w:p>
        </w:tc>
        <w:tc>
          <w:tcPr>
            <w:tcW w:type="dxa" w:w="2016"/>
          </w:tcPr>
          <w:p>
            <w:r/>
            <w:r>
              <w:rPr>
                <w:sz w:val="17"/>
              </w:rPr>
              <w:t>89 cy</w:t>
            </w:r>
          </w:p>
        </w:tc>
        <w:tc>
          <w:tcPr>
            <w:tcW w:type="dxa" w:w="2016"/>
          </w:tcPr>
          <w:p>
            <w:r/>
            <w:r>
              <w:rPr>
                <w:sz w:val="17"/>
              </w:rPr>
              <w:t>129 tons</w:t>
            </w:r>
          </w:p>
        </w:tc>
      </w:tr>
      <w:tr>
        <w:tc>
          <w:tcPr>
            <w:tcW w:type="dxa" w:w="1152"/>
          </w:tcPr>
          <w:p>
            <w:r/>
            <w:r>
              <w:rPr>
                <w:sz w:val="17"/>
              </w:rPr>
              <w:t>Total</w:t>
            </w:r>
          </w:p>
        </w:tc>
        <w:tc>
          <w:tcPr>
            <w:tcW w:type="dxa" w:w="1728"/>
          </w:tcPr>
          <w:p>
            <w:r/>
            <w:r>
              <w:rPr>
                <w:sz w:val="17"/>
              </w:rPr>
            </w:r>
          </w:p>
        </w:tc>
        <w:tc>
          <w:tcPr>
            <w:tcW w:type="dxa" w:w="1584"/>
          </w:tcPr>
          <w:p>
            <w:r/>
            <w:r>
              <w:rPr>
                <w:sz w:val="17"/>
              </w:rPr>
            </w:r>
          </w:p>
        </w:tc>
        <w:tc>
          <w:tcPr>
            <w:tcW w:type="dxa" w:w="1440"/>
          </w:tcPr>
          <w:p>
            <w:r/>
            <w:r>
              <w:rPr>
                <w:sz w:val="17"/>
              </w:rPr>
            </w:r>
          </w:p>
        </w:tc>
        <w:tc>
          <w:tcPr>
            <w:tcW w:type="dxa" w:w="2016"/>
          </w:tcPr>
          <w:p>
            <w:r/>
            <w:r>
              <w:rPr>
                <w:sz w:val="17"/>
              </w:rPr>
              <w:t>933 cy</w:t>
            </w:r>
          </w:p>
        </w:tc>
        <w:tc>
          <w:tcPr>
            <w:tcW w:type="dxa" w:w="2016"/>
          </w:tcPr>
          <w:p>
            <w:r/>
            <w:r>
              <w:rPr>
                <w:sz w:val="17"/>
              </w:rPr>
              <w:t>1,353 tons</w:t>
            </w:r>
          </w:p>
        </w:tc>
      </w:tr>
    </w:tbl>
    <w:p/>
    <w:p>
      <w:pPr>
        <w:spacing w:before="200" w:after="60"/>
      </w:pPr>
      <w:r>
        <w:rPr>
          <w:b/>
          <w:color w:val="1F4E3D"/>
          <w:sz w:val="23"/>
        </w:rPr>
        <w:t>7.  Cost estimate</w:t>
      </w:r>
    </w:p>
    <w:p>
      <w:r>
        <w:t>Built from the unit rates in our estimating basis, which carry a stated accuracy of minus fifteen to plus thirty percent before contingency.</w:t>
      </w:r>
    </w:p>
    <w:tbl>
      <w:tblPr>
        <w:tblStyle w:val="LightGrid-Accent3"/>
        <w:tblW w:type="auto" w:w="0"/>
        <w:tblLook w:firstColumn="1" w:firstRow="1" w:lastColumn="0" w:lastRow="0" w:noHBand="0" w:noVBand="1" w:val="04A0"/>
      </w:tblPr>
      <w:tblGrid>
        <w:gridCol w:w="3360"/>
        <w:gridCol w:w="3360"/>
        <w:gridCol w:w="3360"/>
      </w:tblGrid>
      <w:tr>
        <w:tc>
          <w:tcPr>
            <w:tcW w:type="dxa" w:w="6048"/>
          </w:tcPr>
          <w:p>
            <w:r/>
            <w:r>
              <w:rPr>
                <w:b/>
                <w:sz w:val="17"/>
              </w:rPr>
              <w:t>Item</w:t>
            </w:r>
          </w:p>
        </w:tc>
        <w:tc>
          <w:tcPr>
            <w:tcW w:type="dxa" w:w="1872"/>
          </w:tcPr>
          <w:p>
            <w:r/>
            <w:r>
              <w:rPr>
                <w:b/>
                <w:sz w:val="17"/>
              </w:rPr>
              <w:t>Quantity</w:t>
            </w:r>
          </w:p>
        </w:tc>
        <w:tc>
          <w:tcPr>
            <w:tcW w:type="dxa" w:w="2160"/>
          </w:tcPr>
          <w:p>
            <w:r/>
            <w:r>
              <w:rPr>
                <w:b/>
                <w:sz w:val="17"/>
              </w:rPr>
              <w:t>Amount</w:t>
            </w:r>
          </w:p>
        </w:tc>
      </w:tr>
      <w:tr>
        <w:tc>
          <w:tcPr>
            <w:tcW w:type="dxa" w:w="6048"/>
          </w:tcPr>
          <w:p>
            <w:r/>
            <w:r>
              <w:rPr>
                <w:sz w:val="17"/>
              </w:rPr>
              <w:t>Mobilisation and demobilisation</w:t>
            </w:r>
          </w:p>
        </w:tc>
        <w:tc>
          <w:tcPr>
            <w:tcW w:type="dxa" w:w="1872"/>
          </w:tcPr>
          <w:p>
            <w:r/>
            <w:r>
              <w:rPr>
                <w:sz w:val="17"/>
              </w:rPr>
              <w:t>1 LS</w:t>
            </w:r>
          </w:p>
        </w:tc>
        <w:tc>
          <w:tcPr>
            <w:tcW w:type="dxa" w:w="2160"/>
          </w:tcPr>
          <w:p>
            <w:r/>
            <w:r>
              <w:rPr>
                <w:sz w:val="17"/>
              </w:rPr>
              <w:t>$28,500</w:t>
            </w:r>
          </w:p>
        </w:tc>
      </w:tr>
      <w:tr>
        <w:tc>
          <w:tcPr>
            <w:tcW w:type="dxa" w:w="6048"/>
          </w:tcPr>
          <w:p>
            <w:r/>
            <w:r>
              <w:rPr>
                <w:sz w:val="17"/>
              </w:rPr>
              <w:t>Excavation, load and haul preparation</w:t>
            </w:r>
          </w:p>
        </w:tc>
        <w:tc>
          <w:tcPr>
            <w:tcW w:type="dxa" w:w="1872"/>
          </w:tcPr>
          <w:p>
            <w:r/>
            <w:r>
              <w:rPr>
                <w:sz w:val="17"/>
              </w:rPr>
              <w:t>933 CY</w:t>
            </w:r>
          </w:p>
        </w:tc>
        <w:tc>
          <w:tcPr>
            <w:tcW w:type="dxa" w:w="2160"/>
          </w:tcPr>
          <w:p>
            <w:r/>
            <w:r>
              <w:rPr>
                <w:sz w:val="17"/>
              </w:rPr>
              <w:t>$17,500</w:t>
            </w:r>
          </w:p>
        </w:tc>
      </w:tr>
      <w:tr>
        <w:tc>
          <w:tcPr>
            <w:tcW w:type="dxa" w:w="6048"/>
          </w:tcPr>
          <w:p>
            <w:r/>
            <w:r>
              <w:rPr>
                <w:sz w:val="17"/>
              </w:rPr>
              <w:t>Transport and disposal, non-hazardous industrial soil</w:t>
            </w:r>
          </w:p>
        </w:tc>
        <w:tc>
          <w:tcPr>
            <w:tcW w:type="dxa" w:w="1872"/>
          </w:tcPr>
          <w:p>
            <w:r/>
            <w:r>
              <w:rPr>
                <w:sz w:val="17"/>
              </w:rPr>
              <w:t>1,353 TON</w:t>
            </w:r>
          </w:p>
        </w:tc>
        <w:tc>
          <w:tcPr>
            <w:tcW w:type="dxa" w:w="2160"/>
          </w:tcPr>
          <w:p>
            <w:r/>
            <w:r>
              <w:rPr>
                <w:sz w:val="17"/>
              </w:rPr>
              <w:t>$84,583</w:t>
            </w:r>
          </w:p>
        </w:tc>
      </w:tr>
      <w:tr>
        <w:tc>
          <w:tcPr>
            <w:tcW w:type="dxa" w:w="6048"/>
          </w:tcPr>
          <w:p>
            <w:r/>
            <w:r>
              <w:rPr>
                <w:sz w:val="17"/>
              </w:rPr>
              <w:t>Certified clean backfill, supplied and placed</w:t>
            </w:r>
          </w:p>
        </w:tc>
        <w:tc>
          <w:tcPr>
            <w:tcW w:type="dxa" w:w="1872"/>
          </w:tcPr>
          <w:p>
            <w:r/>
            <w:r>
              <w:rPr>
                <w:sz w:val="17"/>
              </w:rPr>
              <w:t>933 CY</w:t>
            </w:r>
          </w:p>
        </w:tc>
        <w:tc>
          <w:tcPr>
            <w:tcW w:type="dxa" w:w="2160"/>
          </w:tcPr>
          <w:p>
            <w:r/>
            <w:r>
              <w:rPr>
                <w:sz w:val="17"/>
              </w:rPr>
              <w:t>$31,733</w:t>
            </w:r>
          </w:p>
        </w:tc>
      </w:tr>
      <w:tr>
        <w:tc>
          <w:tcPr>
            <w:tcW w:type="dxa" w:w="6048"/>
          </w:tcPr>
          <w:p>
            <w:r/>
            <w:r>
              <w:rPr>
                <w:sz w:val="17"/>
              </w:rPr>
              <w:t>Confirmation sampling and laboratory analysis</w:t>
            </w:r>
          </w:p>
        </w:tc>
        <w:tc>
          <w:tcPr>
            <w:tcW w:type="dxa" w:w="1872"/>
          </w:tcPr>
          <w:p>
            <w:r/>
            <w:r>
              <w:rPr>
                <w:sz w:val="17"/>
              </w:rPr>
              <w:t>14 EA</w:t>
            </w:r>
          </w:p>
        </w:tc>
        <w:tc>
          <w:tcPr>
            <w:tcW w:type="dxa" w:w="2160"/>
          </w:tcPr>
          <w:p>
            <w:r/>
            <w:r>
              <w:rPr>
                <w:sz w:val="17"/>
              </w:rPr>
              <w:t>$16,100</w:t>
            </w:r>
          </w:p>
        </w:tc>
      </w:tr>
      <w:tr>
        <w:tc>
          <w:tcPr>
            <w:tcW w:type="dxa" w:w="6048"/>
          </w:tcPr>
          <w:p>
            <w:r/>
            <w:r>
              <w:rPr>
                <w:sz w:val="17"/>
              </w:rPr>
              <w:t>Dewatering, treatment and discharge</w:t>
            </w:r>
          </w:p>
        </w:tc>
        <w:tc>
          <w:tcPr>
            <w:tcW w:type="dxa" w:w="1872"/>
          </w:tcPr>
          <w:p>
            <w:r/>
            <w:r>
              <w:rPr>
                <w:sz w:val="17"/>
              </w:rPr>
              <w:t>1 LS</w:t>
            </w:r>
          </w:p>
        </w:tc>
        <w:tc>
          <w:tcPr>
            <w:tcW w:type="dxa" w:w="2160"/>
          </w:tcPr>
          <w:p>
            <w:r/>
            <w:r>
              <w:rPr>
                <w:sz w:val="17"/>
              </w:rPr>
              <w:t>$22,000</w:t>
            </w:r>
          </w:p>
        </w:tc>
      </w:tr>
      <w:tr>
        <w:tc>
          <w:tcPr>
            <w:tcW w:type="dxa" w:w="6048"/>
          </w:tcPr>
          <w:p>
            <w:r/>
            <w:r>
              <w:rPr>
                <w:sz w:val="17"/>
              </w:rPr>
              <w:t>Engineering oversight, air monitoring and completion report</w:t>
            </w:r>
          </w:p>
        </w:tc>
        <w:tc>
          <w:tcPr>
            <w:tcW w:type="dxa" w:w="1872"/>
          </w:tcPr>
          <w:p>
            <w:r/>
            <w:r>
              <w:rPr>
                <w:sz w:val="17"/>
              </w:rPr>
              <w:t>1 LS</w:t>
            </w:r>
          </w:p>
        </w:tc>
        <w:tc>
          <w:tcPr>
            <w:tcW w:type="dxa" w:w="2160"/>
          </w:tcPr>
          <w:p>
            <w:r/>
            <w:r>
              <w:rPr>
                <w:sz w:val="17"/>
              </w:rPr>
              <w:t>$46,500</w:t>
            </w:r>
          </w:p>
        </w:tc>
      </w:tr>
      <w:tr>
        <w:tc>
          <w:tcPr>
            <w:tcW w:type="dxa" w:w="6048"/>
          </w:tcPr>
          <w:p>
            <w:r/>
            <w:r>
              <w:rPr>
                <w:sz w:val="17"/>
              </w:rPr>
              <w:t>Activity and use limitation</w:t>
            </w:r>
          </w:p>
        </w:tc>
        <w:tc>
          <w:tcPr>
            <w:tcW w:type="dxa" w:w="1872"/>
          </w:tcPr>
          <w:p>
            <w:r/>
            <w:r>
              <w:rPr>
                <w:sz w:val="17"/>
              </w:rPr>
              <w:t>1 LS</w:t>
            </w:r>
          </w:p>
        </w:tc>
        <w:tc>
          <w:tcPr>
            <w:tcW w:type="dxa" w:w="2160"/>
          </w:tcPr>
          <w:p>
            <w:r/>
            <w:r>
              <w:rPr>
                <w:sz w:val="17"/>
              </w:rPr>
              <w:t>$12,800</w:t>
            </w:r>
          </w:p>
        </w:tc>
      </w:tr>
      <w:tr>
        <w:tc>
          <w:tcPr>
            <w:tcW w:type="dxa" w:w="6048"/>
          </w:tcPr>
          <w:p>
            <w:r/>
            <w:r>
              <w:rPr>
                <w:sz w:val="17"/>
              </w:rPr>
              <w:t>Vapour intrusion evaluation</w:t>
            </w:r>
          </w:p>
        </w:tc>
        <w:tc>
          <w:tcPr>
            <w:tcW w:type="dxa" w:w="1872"/>
          </w:tcPr>
          <w:p>
            <w:r/>
            <w:r>
              <w:rPr>
                <w:sz w:val="17"/>
              </w:rPr>
              <w:t>1 LS</w:t>
            </w:r>
          </w:p>
        </w:tc>
        <w:tc>
          <w:tcPr>
            <w:tcW w:type="dxa" w:w="2160"/>
          </w:tcPr>
          <w:p>
            <w:r/>
            <w:r>
              <w:rPr>
                <w:sz w:val="17"/>
              </w:rPr>
              <w:t>$38,400</w:t>
            </w:r>
          </w:p>
        </w:tc>
      </w:tr>
      <w:tr>
        <w:tc>
          <w:tcPr>
            <w:tcW w:type="dxa" w:w="6048"/>
          </w:tcPr>
          <w:p>
            <w:r/>
            <w:r>
              <w:rPr>
                <w:sz w:val="17"/>
              </w:rPr>
              <w:t>Quarterly groundwater monitoring, four wells</w:t>
            </w:r>
          </w:p>
        </w:tc>
        <w:tc>
          <w:tcPr>
            <w:tcW w:type="dxa" w:w="1872"/>
          </w:tcPr>
          <w:p>
            <w:r/>
            <w:r>
              <w:rPr>
                <w:sz w:val="17"/>
              </w:rPr>
              <w:t>4 RND</w:t>
            </w:r>
          </w:p>
        </w:tc>
        <w:tc>
          <w:tcPr>
            <w:tcW w:type="dxa" w:w="2160"/>
          </w:tcPr>
          <w:p>
            <w:r/>
            <w:r>
              <w:rPr>
                <w:sz w:val="17"/>
              </w:rPr>
              <w:t>$38,400</w:t>
            </w:r>
          </w:p>
        </w:tc>
      </w:tr>
      <w:tr>
        <w:tc>
          <w:tcPr>
            <w:tcW w:type="dxa" w:w="6048"/>
          </w:tcPr>
          <w:p>
            <w:r/>
            <w:r>
              <w:rPr>
                <w:sz w:val="17"/>
              </w:rPr>
              <w:t>Subtotal</w:t>
            </w:r>
          </w:p>
        </w:tc>
        <w:tc>
          <w:tcPr>
            <w:tcW w:type="dxa" w:w="1872"/>
          </w:tcPr>
          <w:p>
            <w:r/>
            <w:r>
              <w:rPr>
                <w:sz w:val="17"/>
              </w:rPr>
            </w:r>
          </w:p>
        </w:tc>
        <w:tc>
          <w:tcPr>
            <w:tcW w:type="dxa" w:w="2160"/>
          </w:tcPr>
          <w:p>
            <w:r/>
            <w:r>
              <w:rPr>
                <w:sz w:val="17"/>
              </w:rPr>
              <w:t>$336,517</w:t>
            </w:r>
          </w:p>
        </w:tc>
      </w:tr>
      <w:tr>
        <w:tc>
          <w:tcPr>
            <w:tcW w:type="dxa" w:w="6048"/>
          </w:tcPr>
          <w:p>
            <w:r/>
            <w:r>
              <w:rPr>
                <w:sz w:val="17"/>
              </w:rPr>
              <w:t>Contingency at 20%</w:t>
            </w:r>
          </w:p>
        </w:tc>
        <w:tc>
          <w:tcPr>
            <w:tcW w:type="dxa" w:w="1872"/>
          </w:tcPr>
          <w:p>
            <w:r/>
            <w:r>
              <w:rPr>
                <w:sz w:val="17"/>
              </w:rPr>
            </w:r>
          </w:p>
        </w:tc>
        <w:tc>
          <w:tcPr>
            <w:tcW w:type="dxa" w:w="2160"/>
          </w:tcPr>
          <w:p>
            <w:r/>
            <w:r>
              <w:rPr>
                <w:sz w:val="17"/>
              </w:rPr>
              <w:t>$67,303</w:t>
            </w:r>
          </w:p>
        </w:tc>
      </w:tr>
      <w:tr>
        <w:tc>
          <w:tcPr>
            <w:tcW w:type="dxa" w:w="6048"/>
          </w:tcPr>
          <w:p>
            <w:r/>
            <w:r>
              <w:rPr>
                <w:sz w:val="17"/>
              </w:rPr>
              <w:t>Total, recommended approach</w:t>
            </w:r>
          </w:p>
        </w:tc>
        <w:tc>
          <w:tcPr>
            <w:tcW w:type="dxa" w:w="1872"/>
          </w:tcPr>
          <w:p>
            <w:r/>
            <w:r>
              <w:rPr>
                <w:sz w:val="17"/>
              </w:rPr>
            </w:r>
          </w:p>
        </w:tc>
        <w:tc>
          <w:tcPr>
            <w:tcW w:type="dxa" w:w="2160"/>
          </w:tcPr>
          <w:p>
            <w:r/>
            <w:r>
              <w:rPr>
                <w:sz w:val="17"/>
              </w:rPr>
              <w:t>$403,820</w:t>
            </w:r>
          </w:p>
        </w:tc>
      </w:tr>
      <w:tr>
        <w:tc>
          <w:tcPr>
            <w:tcW w:type="dxa" w:w="6048"/>
          </w:tcPr>
          <w:p>
            <w:r/>
            <w:r>
              <w:rPr>
                <w:sz w:val="17"/>
              </w:rPr>
              <w:t>Total if sub-slab depressurisation proves necessary</w:t>
            </w:r>
          </w:p>
        </w:tc>
        <w:tc>
          <w:tcPr>
            <w:tcW w:type="dxa" w:w="1872"/>
          </w:tcPr>
          <w:p>
            <w:r/>
            <w:r>
              <w:rPr>
                <w:sz w:val="17"/>
              </w:rPr>
            </w:r>
          </w:p>
        </w:tc>
        <w:tc>
          <w:tcPr>
            <w:tcW w:type="dxa" w:w="2160"/>
          </w:tcPr>
          <w:p>
            <w:r/>
            <w:r>
              <w:rPr>
                <w:sz w:val="17"/>
              </w:rPr>
              <w:t>$477,020</w:t>
            </w:r>
          </w:p>
        </w:tc>
      </w:tr>
    </w:tbl>
    <w:p/>
    <w:p>
      <w:r>
        <w:t>One line deserves comment. The soil profiles as non-hazardous. Toxicity characteristic leaching results for the two highest total lead samples were 1.8 and 3.1 mg/L against the 5 mg/L regulatory limit, so the material goes to Ridgeline at $62.50 per ton rather than to Tallmadge at $310.00. On 1,353 tons that distinction is worth $334,950. An estimate that assumed hazardous disposal on the strength of the total lead concentrations alone would be wrong by more than the entire escrow.</w:t>
      </w:r>
    </w:p>
    <w:p>
      <w:pPr>
        <w:spacing w:before="200" w:after="60"/>
      </w:pPr>
      <w:r>
        <w:rPr>
          <w:b/>
          <w:color w:val="1F4E3D"/>
          <w:sz w:val="23"/>
        </w:rPr>
        <w:t>8.  How this sits against the agreement</w:t>
      </w:r>
    </w:p>
    <w:p>
      <w:r>
        <w:t>Section 9.1 caps Seller's contribution at $350,000 and puts everything above it on Kestrel. The recommended approach exceeds the cap by $53,820, and by $127,020 if vapour mitigation is required. That gap is the number to negotiate, either as an increase to the escrow or as a reduction in the purchase price.</w:t>
      </w:r>
    </w:p>
    <w:p>
      <w:r>
        <w:t>Section 9.4 is the more awkward provision. Our recommended approach depends on recording an activity and use limitation, and Kestrel cannot record one without Seller's written consent. Seller is keeping the adjoining parcel, which gives it a reason to resist a restriction recorded next door. Consent cannot be unreasonably withheld, but Kestrel should not rely on that in a transaction with this timetable. We would ask for the consent in writing as a condition of closing, and Ben should know that the alternative if consent is refused is the unrestricted approach in section 6, which is not achievable here at any price. In practical terms, refusal of consent is a reason to walk rather than a reason to spend more.</w:t>
      </w:r>
    </w:p>
    <w:p>
      <w:r>
        <w:t>Section 9.2 excludes Known Conditions from the indemnity, which takes AOC-4 outside Seller's cover because the former tank and the 1998 closure file are both described in the Phase I. As it happens neither boring in the tank basin found anything above criteria, so on present information that carve-out costs Kestrel nothing. The caution is that the ODEQ closure file records soil left in place above current criteria, and two borings do not disprove that. If material turns up during construction it will be Kestrel's, not Seller's. We would allow for that in the construction budget rather than in this estimate.</w:t>
      </w:r>
    </w:p>
    <w:p>
      <w:pPr>
        <w:spacing w:before="200" w:after="60"/>
      </w:pPr>
      <w:r>
        <w:rPr>
          <w:b/>
          <w:color w:val="1F4E3D"/>
          <w:sz w:val="23"/>
        </w:rPr>
        <w:t>9.  What is still unknown, and the schedule</w:t>
      </w:r>
    </w:p>
    <w:tbl>
      <w:tblPr>
        <w:tblStyle w:val="LightGrid-Accent3"/>
        <w:tblW w:type="auto" w:w="0"/>
        <w:tblLook w:firstColumn="1" w:firstRow="1" w:lastColumn="0" w:lastRow="0" w:noHBand="0" w:noVBand="1" w:val="04A0"/>
      </w:tblPr>
      <w:tblGrid>
        <w:gridCol w:w="3360"/>
        <w:gridCol w:w="3360"/>
        <w:gridCol w:w="3360"/>
      </w:tblGrid>
      <w:tr>
        <w:tc>
          <w:tcPr>
            <w:tcW w:type="dxa" w:w="3456"/>
          </w:tcPr>
          <w:p>
            <w:r/>
            <w:r>
              <w:rPr>
                <w:b/>
                <w:sz w:val="17"/>
              </w:rPr>
              <w:t>Gap</w:t>
            </w:r>
          </w:p>
        </w:tc>
        <w:tc>
          <w:tcPr>
            <w:tcW w:type="dxa" w:w="4752"/>
          </w:tcPr>
          <w:p>
            <w:r/>
            <w:r>
              <w:rPr>
                <w:b/>
                <w:sz w:val="17"/>
              </w:rPr>
              <w:t>Work required</w:t>
            </w:r>
          </w:p>
        </w:tc>
        <w:tc>
          <w:tcPr>
            <w:tcW w:type="dxa" w:w="1872"/>
          </w:tcPr>
          <w:p>
            <w:r/>
            <w:r>
              <w:rPr>
                <w:b/>
                <w:sz w:val="17"/>
              </w:rPr>
              <w:t>Duration</w:t>
            </w:r>
          </w:p>
        </w:tc>
      </w:tr>
      <w:tr>
        <w:tc>
          <w:tcPr>
            <w:tcW w:type="dxa" w:w="3456"/>
          </w:tcPr>
          <w:p>
            <w:r/>
            <w:r>
              <w:rPr>
                <w:sz w:val="17"/>
              </w:rPr>
              <w:t>Vinyl chloride cannot be screened at the reporting limit achieved</w:t>
            </w:r>
          </w:p>
        </w:tc>
        <w:tc>
          <w:tcPr>
            <w:tcW w:type="dxa" w:w="4752"/>
          </w:tcPr>
          <w:p>
            <w:r/>
            <w:r>
              <w:rPr>
                <w:sz w:val="17"/>
              </w:rPr>
              <w:t>Re-analyse the AOC-2 and AOC-3 archived samples by selected ion monitoring</w:t>
            </w:r>
          </w:p>
        </w:tc>
        <w:tc>
          <w:tcPr>
            <w:tcW w:type="dxa" w:w="1872"/>
          </w:tcPr>
          <w:p>
            <w:r/>
            <w:r>
              <w:rPr>
                <w:sz w:val="17"/>
              </w:rPr>
              <w:t>14 days</w:t>
            </w:r>
          </w:p>
        </w:tc>
      </w:tr>
      <w:tr>
        <w:tc>
          <w:tcPr>
            <w:tcW w:type="dxa" w:w="3456"/>
          </w:tcPr>
          <w:p>
            <w:r/>
            <w:r>
              <w:rPr>
                <w:sz w:val="17"/>
              </w:rPr>
              <w:t>Vapour intrusion beneath the planned building is unquantified</w:t>
            </w:r>
          </w:p>
        </w:tc>
        <w:tc>
          <w:tcPr>
            <w:tcW w:type="dxa" w:w="4752"/>
          </w:tcPr>
          <w:p>
            <w:r/>
            <w:r>
              <w:rPr>
                <w:sz w:val="17"/>
              </w:rPr>
              <w:t>Sub-slab and indoor air sampling, two rounds, plus laboratory turnaround</w:t>
            </w:r>
          </w:p>
        </w:tc>
        <w:tc>
          <w:tcPr>
            <w:tcW w:type="dxa" w:w="1872"/>
          </w:tcPr>
          <w:p>
            <w:r/>
            <w:r>
              <w:rPr>
                <w:sz w:val="17"/>
              </w:rPr>
              <w:t>24 days</w:t>
            </w:r>
          </w:p>
        </w:tc>
      </w:tr>
      <w:tr>
        <w:tc>
          <w:tcPr>
            <w:tcW w:type="dxa" w:w="3456"/>
          </w:tcPr>
          <w:p>
            <w:r/>
            <w:r>
              <w:rPr>
                <w:sz w:val="17"/>
              </w:rPr>
              <w:t>The plume is not bounded east of TW-02 and TW-03 is biased low</w:t>
            </w:r>
          </w:p>
        </w:tc>
        <w:tc>
          <w:tcPr>
            <w:tcW w:type="dxa" w:w="4752"/>
          </w:tcPr>
          <w:p>
            <w:r/>
            <w:r>
              <w:rPr>
                <w:sz w:val="17"/>
              </w:rPr>
              <w:t>Two additional temporary wells, and re-collect TW-03</w:t>
            </w:r>
          </w:p>
        </w:tc>
        <w:tc>
          <w:tcPr>
            <w:tcW w:type="dxa" w:w="1872"/>
          </w:tcPr>
          <w:p>
            <w:r/>
            <w:r>
              <w:rPr>
                <w:sz w:val="17"/>
              </w:rPr>
              <w:t>Concurrent with the above</w:t>
            </w:r>
          </w:p>
        </w:tc>
      </w:tr>
      <w:tr>
        <w:tc>
          <w:tcPr>
            <w:tcW w:type="dxa" w:w="3456"/>
          </w:tcPr>
          <w:p>
            <w:r/>
            <w:r>
              <w:rPr>
                <w:sz w:val="17"/>
              </w:rPr>
              <w:t>Residual at the former tank basin is not disproved</w:t>
            </w:r>
          </w:p>
        </w:tc>
        <w:tc>
          <w:tcPr>
            <w:tcW w:type="dxa" w:w="4752"/>
          </w:tcPr>
          <w:p>
            <w:r/>
            <w:r>
              <w:rPr>
                <w:sz w:val="17"/>
              </w:rPr>
              <w:t>Two additional borings in the 1998 excavation footprint</w:t>
            </w:r>
          </w:p>
        </w:tc>
        <w:tc>
          <w:tcPr>
            <w:tcW w:type="dxa" w:w="1872"/>
          </w:tcPr>
          <w:p>
            <w:r/>
            <w:r>
              <w:rPr>
                <w:sz w:val="17"/>
              </w:rPr>
              <w:t>Concurrent with the above</w:t>
            </w:r>
          </w:p>
        </w:tc>
      </w:tr>
      <w:tr>
        <w:tc>
          <w:tcPr>
            <w:tcW w:type="dxa" w:w="3456"/>
          </w:tcPr>
          <w:p>
            <w:r/>
            <w:r>
              <w:rPr>
                <w:sz w:val="17"/>
              </w:rPr>
              <w:t>Evaluation and reporting</w:t>
            </w:r>
          </w:p>
        </w:tc>
        <w:tc>
          <w:tcPr>
            <w:tcW w:type="dxa" w:w="4752"/>
          </w:tcPr>
          <w:p>
            <w:r/>
            <w:r>
              <w:rPr>
                <w:sz w:val="17"/>
              </w:rPr>
            </w:r>
          </w:p>
        </w:tc>
        <w:tc>
          <w:tcPr>
            <w:tcW w:type="dxa" w:w="1872"/>
          </w:tcPr>
          <w:p>
            <w:r/>
            <w:r>
              <w:rPr>
                <w:sz w:val="17"/>
              </w:rPr>
              <w:t>10 days</w:t>
            </w:r>
          </w:p>
        </w:tc>
      </w:tr>
    </w:tbl>
    <w:p/>
    <w:p>
      <w:r>
        <w:t>The critical path is 34 days from today, finishing about April 12, 2026. The due diligence period expires March 31, 2026, which is 22 days away. We are 12 days short.</w:t>
      </w:r>
    </w:p>
    <w:p>
      <w:r>
        <w:t>Section 4.3 allows Kestrel to extend by up to sixty days on written notice with an additional deposit of $75,000, and does not require Seller's consent. That is the clean answer. The deposit becomes non-refundable but is credited at closing, so the real cost of the extension is the risk that Kestrel later walks, against the risk of closing without knowing whether the building needs a depressurisation system underneath it.</w:t>
      </w:r>
    </w:p>
    <w:p>
      <w:pPr>
        <w:spacing w:before="200" w:after="60"/>
      </w:pPr>
      <w:r>
        <w:rPr>
          <w:b/>
          <w:color w:val="1F4E3D"/>
          <w:sz w:val="23"/>
        </w:rPr>
        <w:t>10.  Recommendation</w:t>
      </w:r>
    </w:p>
    <w:p>
      <w:pPr>
        <w:pStyle w:val="ListNumber"/>
      </w:pPr>
      <w:r>
        <w:t>Serve notice under Section 4.3 before March 31 and extend the due diligence period. Sixty days covers the 34-day critical path with margin.</w:t>
      </w:r>
    </w:p>
    <w:p>
      <w:pPr>
        <w:pStyle w:val="ListNumber"/>
      </w:pPr>
      <w:r>
        <w:t>Commission the vinyl chloride re-analysis, the vapour intrusion round, two step-out wells and two borings in the former tank basin immediately, without waiting for the extension to be acknowledged.</w:t>
      </w:r>
    </w:p>
    <w:p>
      <w:pPr>
        <w:pStyle w:val="ListNumber"/>
      </w:pPr>
      <w:r>
        <w:t>Open the negotiation on the escrow now. The gap is $53,820 on the base case and $127,020 if mitigation is needed; we would ask for the higher figure and settle at the lower.</w:t>
      </w:r>
    </w:p>
    <w:p>
      <w:pPr>
        <w:pStyle w:val="ListNumber"/>
      </w:pPr>
      <w:r>
        <w:t>Obtain Seller's written consent to an activity and use limitation as a condition of closing. Without it the recommended approach does not work and there is no viable substitute.</w:t>
      </w:r>
    </w:p>
    <w:p>
      <w:pPr>
        <w:pStyle w:val="ListNumber"/>
      </w:pPr>
      <w:r>
        <w:t>Budget separately for the possibility of undocumented residual at the former tank basin, which sits outside the indemnity.</w:t>
      </w:r>
    </w:p>
    <w:p>
      <w:r>
        <w:t>We are not recommending that Kestrel walk. The impacts are ordinary for a former plating and degreasing plant, they are bounded on three sides, and the remedy is conventional. The issue is that the agreement as drafted allocates a predictable cost overrun to the buyer and gives the seller a veto over the mechanism that makes the remedy affordable. Both are negotiable, and both are easier to negotiate before March 31 than after.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5"/>
      </w:rPr>
      <w:t xml:space="preserve">Marchbank Environmental, Inc.  |  Project 26-0431  |  Privileged and confidential - prepared at the direction of counsel  |  Page </w:t>
    </w:r>
    <w:r>
      <w:rPr>
        <w:color w:val="898781"/>
        <w:sz w:val="15"/>
      </w:rPr>
    </w:r>
    <w:fldSimple w:instr=" PAGE ">
      <w:t>1</w:t>
    </w:fldSimple>
    <w:r>
      <w:rPr>
        <w:color w:val="898781"/>
        <w:sz w:val="15"/>
      </w:rPr>
      <w:t xml:space="preserve"> of </w:t>
    </w:r>
    <w:r>
      <w:rPr>
        <w:color w:val="898781"/>
        <w:sz w:val="15"/>
      </w:rPr>
    </w:r>
    <w:fldSimple w:instr=" NUMPAGES ">
      <w:t>1</w:t>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