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3D"/>
          <w:sz w:val="30"/>
        </w:rPr>
        <w:t>MARCHBANK ENVIRONMENTAL, INC.</w:t>
      </w:r>
    </w:p>
    <w:p>
      <w:r>
        <w:rPr>
          <w:i/>
          <w:color w:val="595959"/>
          <w:sz w:val="19"/>
        </w:rPr>
        <w:t>Internal assignment note</w:t>
      </w:r>
    </w:p>
    <w:tbl>
      <w:tblPr>
        <w:tblStyle w:val="TableGrid"/>
        <w:tblW w:type="auto" w:w="0"/>
        <w:tblLook w:firstColumn="1" w:firstRow="1" w:lastColumn="0" w:lastRow="0" w:noHBand="0" w:noVBand="1" w:val="04A0"/>
      </w:tblPr>
      <w:tblGrid>
        <w:gridCol w:w="4320"/>
        <w:gridCol w:w="4320"/>
      </w:tblGrid>
      <w:tr>
        <w:tc>
          <w:tcPr>
            <w:tcW w:type="dxa" w:w="1152"/>
          </w:tcPr>
          <w:p>
            <w:r/>
            <w:r>
              <w:rPr>
                <w:b/>
              </w:rPr>
              <w:t>To</w:t>
            </w:r>
          </w:p>
        </w:tc>
        <w:tc>
          <w:tcPr>
            <w:tcW w:type="dxa" w:w="8496"/>
          </w:tcPr>
          <w:p>
            <w:r>
              <w:t>Project scientist, Site Assessment group</w:t>
            </w:r>
          </w:p>
        </w:tc>
      </w:tr>
      <w:tr>
        <w:tc>
          <w:tcPr>
            <w:tcW w:type="dxa" w:w="1152"/>
          </w:tcPr>
          <w:p>
            <w:r/>
            <w:r>
              <w:rPr>
                <w:b/>
              </w:rPr>
              <w:t>From</w:t>
            </w:r>
          </w:p>
        </w:tc>
        <w:tc>
          <w:tcPr>
            <w:tcW w:type="dxa" w:w="8496"/>
          </w:tcPr>
          <w:p>
            <w:r>
              <w:t>Dee Ferraro, PG, Principal</w:t>
            </w:r>
          </w:p>
        </w:tc>
      </w:tr>
      <w:tr>
        <w:tc>
          <w:tcPr>
            <w:tcW w:type="dxa" w:w="1152"/>
          </w:tcPr>
          <w:p>
            <w:r/>
            <w:r>
              <w:rPr>
                <w:b/>
              </w:rPr>
              <w:t>Date</w:t>
            </w:r>
          </w:p>
        </w:tc>
        <w:tc>
          <w:tcPr>
            <w:tcW w:type="dxa" w:w="8496"/>
          </w:tcPr>
          <w:p>
            <w:r>
              <w:t>March 9, 2026</w:t>
            </w:r>
          </w:p>
        </w:tc>
      </w:tr>
      <w:tr>
        <w:tc>
          <w:tcPr>
            <w:tcW w:type="dxa" w:w="1152"/>
          </w:tcPr>
          <w:p>
            <w:r/>
            <w:r>
              <w:rPr>
                <w:b/>
              </w:rPr>
              <w:t>Project</w:t>
            </w:r>
          </w:p>
        </w:tc>
        <w:tc>
          <w:tcPr>
            <w:tcW w:type="dxa" w:w="8496"/>
          </w:tcPr>
          <w:p>
            <w:r>
              <w:t>1480 Fairlead Street, Brayton, Ostrander - Phase II ESA data evaluation (Proj. 26-0431)</w:t>
            </w:r>
          </w:p>
        </w:tc>
      </w:tr>
      <w:tr>
        <w:tc>
          <w:tcPr>
            <w:tcW w:type="dxa" w:w="1152"/>
          </w:tcPr>
          <w:p>
            <w:r/>
            <w:r>
              <w:rPr>
                <w:b/>
              </w:rPr>
              <w:t>Client</w:t>
            </w:r>
          </w:p>
        </w:tc>
        <w:tc>
          <w:tcPr>
            <w:tcW w:type="dxa" w:w="8496"/>
          </w:tcPr>
          <w:p>
            <w:r>
              <w:t>Kestrel Industrial Partners LLC</w:t>
            </w:r>
          </w:p>
        </w:tc>
      </w:tr>
    </w:tbl>
    <w:p/>
    <w:p>
      <w:r>
        <w:t>The Phase II field work wrapped up on February 25 and the last of the laboratory data landed Friday. Kestrel is under a purchase and sale agreement and their due diligence period expires at the end of this month, so they need our conclusions in time to decide whether to close, renegotiate or walk.</w:t>
      </w:r>
    </w:p>
    <w:p>
      <w:r>
        <w:t>Marisa Quintanilla is their acquisitions lead and Ben Oyediran is outside counsel. Marisa wants a number she can take into a negotiation, not a range with caveats attached to every line. Ben wants to know whether anything we find falls inside or outside the indemnity. Read the PSA provisions before you write anything, because the answer to Ben's question changes the recommendation.</w:t>
      </w:r>
    </w:p>
    <w:p>
      <w:r>
        <w:rPr>
          <w:b/>
          <w:color w:val="1F4E3D"/>
          <w:sz w:val="23"/>
        </w:rPr>
        <w:t>What I need from you</w:t>
      </w:r>
    </w:p>
    <w:p>
      <w:pPr>
        <w:pStyle w:val="ListNumber"/>
      </w:pPr>
      <w:r>
        <w:t>Whether the data are usable as reported, and where they are not, what that does to the conclusions. The laboratory did not perform validation and there are at least two things in the case narrative I want you to take a view on.</w:t>
      </w:r>
    </w:p>
    <w:p>
      <w:pPr>
        <w:pStyle w:val="ListNumber"/>
      </w:pPr>
      <w:r>
        <w:t>Which constituents actually exceed the applicable criteria, by area and by exposure pathway. Be careful about which criteria apply here; do not default to the most conservative column in the table.</w:t>
      </w:r>
    </w:p>
    <w:p>
      <w:pPr>
        <w:pStyle w:val="ListNumber"/>
      </w:pPr>
      <w:r>
        <w:t>Whether this site can be closed on a risk-based basis or whether it needs removal, and what that costs. Build the cost from the unit rates in our cost basis file, not from memory.</w:t>
      </w:r>
    </w:p>
    <w:p>
      <w:pPr>
        <w:pStyle w:val="ListNumber"/>
      </w:pPr>
      <w:r>
        <w:t>How the cost sits against the escrow, and what Marisa should do about the gap.</w:t>
      </w:r>
    </w:p>
    <w:p>
      <w:pPr>
        <w:pStyle w:val="ListNumber"/>
      </w:pPr>
      <w:r>
        <w:t>What is still unknown, what it would take to close those gaps, and whether that fits inside the due diligence clock.</w:t>
      </w:r>
    </w:p>
    <w:p>
      <w:r>
        <w:rPr>
          <w:b/>
          <w:color w:val="1F4E3D"/>
          <w:sz w:val="23"/>
        </w:rPr>
        <w:t>Things to watch</w:t>
      </w:r>
    </w:p>
    <w:p>
      <w:pPr>
        <w:pStyle w:val="ListBullet"/>
      </w:pPr>
      <w:r>
        <w:t>Kestrel is building a distribution warehouse. They have already told us they will accept a deed restriction if it saves money, but the seller has to consent to one and the seller is keeping the parcel next door.</w:t>
      </w:r>
    </w:p>
    <w:p>
      <w:pPr>
        <w:pStyle w:val="ListBullet"/>
      </w:pPr>
      <w:r>
        <w:t>The laboratory reported soil volatiles and soil metals in different units. I have had two reports come across my desk this year where that was missed.</w:t>
      </w:r>
    </w:p>
    <w:p>
      <w:pPr>
        <w:pStyle w:val="ListBullet"/>
      </w:pPr>
      <w:r>
        <w:t>The disposal facility will not quote a rate until the soil is profiled. We have the profiling data.</w:t>
      </w:r>
    </w:p>
    <w:p>
      <w:pPr>
        <w:pStyle w:val="ListBullet"/>
      </w:pPr>
      <w:r>
        <w:t>If you conclude we need more field work, tell me exactly how many days it adds. Marisa will ask and 'a few weeks' is not an answer she can use.</w:t>
      </w:r>
    </w:p>
    <w:p>
      <w:pPr>
        <w:pStyle w:val="IntenseQuote"/>
      </w:pPr>
      <w:r>
        <w:t>Write it as a memorandum to Kestrel over my signature. Assume Marisa is technical enough to follow a screening table but will not read an appendix.</w:t>
      </w:r>
    </w:p>
    <w:p>
      <w:r>
        <w:t>- Dee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