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3D"/>
          <w:sz w:val="30"/>
        </w:rPr>
        <w:t>CALDERWOOD ANALYTICAL LABORATORIES</w:t>
      </w:r>
    </w:p>
    <w:p>
      <w:r>
        <w:rPr>
          <w:i/>
          <w:color w:val="595959"/>
          <w:sz w:val="19"/>
        </w:rPr>
        <w:t>Case narrative for reports 26-1188 (soil) and 26-1191 (groundwater) | Client: Marchbank Environmental, Inc. | Project 26-0431 | Issued 2026-03-06</w:t>
      </w:r>
    </w:p>
    <w:p>
      <w:r>
        <w:t>Samples were received in good condition, properly preserved and within temperature specification. All analyses were performed using the methods cited on the individual result pages. The following items are reported for the data user's consideration. Calderwood does not perform third-party data validation; qualification decisions beyond those shown on the result pages rest with the data user.</w:t>
      </w:r>
    </w:p>
    <w:p>
      <w:r>
        <w:rPr>
          <w:b/>
          <w:color w:val="1F4E3D"/>
          <w:sz w:val="23"/>
        </w:rPr>
        <w:t>1. Method blank, soil volatile organics, batch VB26-0451</w:t>
      </w:r>
    </w:p>
    <w:p>
      <w:r>
        <w:t>Methylene chloride was detected in the method blank associated with this batch at 620 ug/kg. Methylene chloride is a common laboratory solvent and is present in the instrument background. All soil samples in report 26-1188 were analysed in this batch. No other target analyte was detected in the method blank above the reporting limit. Sample results have been reported as generated and have not been adjusted for the blank result.</w:t>
      </w:r>
    </w:p>
    <w:p>
      <w:r>
        <w:rPr>
          <w:b/>
          <w:color w:val="1F4E3D"/>
          <w:sz w:val="23"/>
        </w:rPr>
        <w:t>2. Holding time, groundwater volatile organics, sample TW-03</w:t>
      </w:r>
    </w:p>
    <w:p>
      <w:r>
        <w:t>The volatile organic aliquot for TW-03 was collected on 2026-02-25 and analysed on 2026-03-11, seventeen days after collection. The method holding time for preserved aqueous volatiles is fourteen days. The exceedance arose from an autosampler fault on 2026-03-04 that was not identified until the following week. Detected results for this sample are reported with a J qualifier and non-detected results with a UJ qualifier. Losses of volatile constituents over a three-day exceedance are in the low tens of percent for chlorinated ethenes under refrigerated storage. Re-collection was not possible within the reporting schedule.</w:t>
      </w:r>
    </w:p>
    <w:p>
      <w:r>
        <w:rPr>
          <w:b/>
          <w:color w:val="1F4E3D"/>
          <w:sz w:val="23"/>
        </w:rPr>
        <w:t>3. Field duplicate, soil, FD-01</w:t>
      </w:r>
    </w:p>
    <w:p>
      <w:r>
        <w:t>The client submitted a blind field duplicate under identifier FD-01. Relative percent differences between FD-01 and its parent were within the laboratory's twenty percent control limit for chromium, cadmium and arsenic. The relative percent difference for lead was outside that limit. Field duplicate variability in heterogeneous fill material is commonly larger than laboratory duplicate variability and the laboratory control sample and matrix spike recoveries for lead in this batch were within limits, which indicates the variability is attributable to sample heterogeneity rather than to laboratory performance.</w:t>
      </w:r>
    </w:p>
    <w:p>
      <w:r>
        <w:rPr>
          <w:b/>
          <w:color w:val="1F4E3D"/>
          <w:sz w:val="23"/>
        </w:rPr>
        <w:t>4. Reporting limits, vinyl chloride in soil</w:t>
      </w:r>
    </w:p>
    <w:p>
      <w:r>
        <w:t>Vinyl chloride was not detected in any soil sample. The routine reporting limit for vinyl chloride by SW-846 8260D in a soil matrix is 50 ug/kg. A lower reporting limit of approximately 2 ug/kg is achievable by selected ion monitoring on request, at additional cost and with a ten business day turnaround. This was not requested for the present work.</w:t>
      </w:r>
    </w:p>
    <w:p>
      <w:r>
        <w:rPr>
          <w:b/>
          <w:color w:val="1F4E3D"/>
          <w:sz w:val="23"/>
        </w:rPr>
        <w:t>5. Surrogate and laboratory control sample recoveries</w:t>
      </w:r>
    </w:p>
    <w:p>
      <w:r>
        <w:t>Surrogate recoveries were within acceptance limits for all samples. Laboratory control sample and laboratory control sample duplicate recoveries were within limits for all analytes in all batches. Matrix spike recovery for nickel in the batch containing SB-02 was 71 percent against a lower limit of 75 percent; the associated laboratory control sample recovered at 98 percent, indicating a matrix effect rather than a systematic bias.</w:t>
      </w:r>
    </w:p>
    <w:p>
      <w:r>
        <w:rPr>
          <w:b/>
          <w:color w:val="1F4E3D"/>
          <w:sz w:val="23"/>
        </w:rPr>
        <w:t>6. Continuing calibration</w:t>
      </w:r>
    </w:p>
    <w:p>
      <w:r>
        <w:t>All continuing calibration verifications met method criteria. The initial calibration for the volatile organic instrument used for report 26-1188 was performed on 2026-02-19 with a mean relative response factor relative standard deviation of 8.4 percent.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