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3D"/>
          <w:sz w:val="30"/>
        </w:rPr>
        <w:t>PHASE I ENVIRONMENTAL SITE ASSESSMENT - FINDINGS SUMMARY</w:t>
      </w:r>
    </w:p>
    <w:p>
      <w:r>
        <w:rPr>
          <w:i/>
          <w:color w:val="595959"/>
          <w:sz w:val="19"/>
        </w:rPr>
        <w:t>1480 Fairlead Street, Brayton, Ostrander | Prepared for Kestrel Industrial Partners LLC | Marchbank Environmental project 26-0431 | Issued 2026-01-22 | ASTM E1527-21</w:t>
      </w:r>
    </w:p>
    <w:p>
      <w:r>
        <w:t>This summary carries forward the findings of the Phase I assessment that are relevant to the subsurface investigation. The full report is bound separately.</w:t>
      </w:r>
    </w:p>
    <w:p>
      <w:r>
        <w:rPr>
          <w:b/>
          <w:color w:val="1F4E3D"/>
          <w:sz w:val="23"/>
        </w:rPr>
        <w:t>Property and setting</w:t>
      </w:r>
    </w:p>
    <w:p>
      <w:r>
        <w:rPr>
          <w:b/>
        </w:rPr>
        <w:t xml:space="preserve">Description. </w:t>
      </w:r>
      <w:r>
        <w:t>6.2 acres improved with a 48,000 square foot single-storey masonry manufacturing building (Building A), a paved yard and a former tank pad.</w:t>
      </w:r>
    </w:p>
    <w:p>
      <w:r>
        <w:rPr>
          <w:b/>
        </w:rPr>
        <w:t xml:space="preserve">Zoning. </w:t>
      </w:r>
      <w:r>
        <w:t>M-2 Light Industrial. Residential occupancy is not a permitted use under the Brayton zoning ordinance.</w:t>
      </w:r>
    </w:p>
    <w:p>
      <w:r>
        <w:rPr>
          <w:b/>
        </w:rPr>
        <w:t xml:space="preserve">Buyer's intended use. </w:t>
      </w:r>
      <w:r>
        <w:t>Demolition of Building A and construction of a 62,000 square foot distribution warehouse on slab, with the building footprint covering the east yard and the north yard.</w:t>
      </w:r>
    </w:p>
    <w:p>
      <w:r>
        <w:rPr>
          <w:b/>
        </w:rPr>
        <w:t xml:space="preserve">Water supply. </w:t>
      </w:r>
      <w:r>
        <w:t>The property and all surrounding properties are served by the Brayton municipal water system, sourced from the Ferris Reservoir surface water intake 7 miles north-west. A records search of the Ostrander DEQ well registry identified no private supply wells within one mile.</w:t>
      </w:r>
    </w:p>
    <w:p>
      <w:r>
        <w:rPr>
          <w:b/>
        </w:rPr>
        <w:t xml:space="preserve">Aquifer classification. </w:t>
      </w:r>
      <w:r>
        <w:t>The surficial aquifer beneath the property is mapped by ODEQ as Class II-B, not a current or potential source of potable supply, on the basis of documented yields below 5 gallons per minute and the availability of municipal service.</w:t>
      </w:r>
    </w:p>
    <w:p>
      <w:r>
        <w:rPr>
          <w:b/>
        </w:rPr>
        <w:t xml:space="preserve">Surface water. </w:t>
      </w:r>
      <w:r>
        <w:t>The nearest surface water is Cobb Brook, 2,100 feet east and hydraulically downgradient.</w:t>
      </w:r>
    </w:p>
    <w:p>
      <w:r>
        <w:rPr>
          <w:b/>
        </w:rPr>
        <w:t xml:space="preserve">Groundwater. </w:t>
      </w:r>
      <w:r>
        <w:t>First encountered at 10 to 12 feet below grade in nearby borings; inferred flow east-southeast.</w:t>
      </w:r>
    </w:p>
    <w:p>
      <w:r>
        <w:rPr>
          <w:b/>
          <w:color w:val="1F4E3D"/>
          <w:sz w:val="23"/>
        </w:rPr>
        <w:t>Site history</w:t>
      </w:r>
    </w:p>
    <w:p>
      <w:r>
        <w:t>The property was developed in 1961 for Fairlead Metal Products, which operated a metal fabrication and finishing plant until 2009. Operations included stamping, welding, vapour degreasing and an electroplating line producing chromium and cadmium finishes. The plant closed in 2009 and the building has been vacant since 2014 apart from intermittent storage use by the current owner.</w:t>
      </w:r>
    </w:p>
    <w:p>
      <w:r>
        <w:rPr>
          <w:b/>
          <w:color w:val="1F4E3D"/>
          <w:sz w:val="23"/>
        </w:rPr>
        <w:t>Recognised environmental conditions</w:t>
      </w:r>
    </w:p>
    <w:p>
      <w:r>
        <w:rPr>
          <w:b/>
          <w:color w:val="1F4E3D"/>
          <w:sz w:val="21"/>
        </w:rPr>
        <w:t>REC-1, former electroplating line</w:t>
      </w:r>
    </w:p>
    <w:p>
      <w:r>
        <w:t>A plating line with chromic acid, cadmium cyanide and nickel baths occupied the north-central portion of Building A. Photographs from a 1996 fire inspection show open rinse tank pits in the floor slab. Bath contents were reportedly removed in 2010 but no disposal documentation was located.</w:t>
      </w:r>
    </w:p>
    <w:p>
      <w:r>
        <w:rPr>
          <w:b/>
          <w:color w:val="1F4E3D"/>
          <w:sz w:val="21"/>
        </w:rPr>
        <w:t>REC-2, former degreaser aboveground tank</w:t>
      </w:r>
    </w:p>
    <w:p>
      <w:r>
        <w:t>A 1,500 gallon aboveground tank on a concrete pad in the east yard supplied a vapour degreaser. Interviews with a former maintenance supervisor indicate the tank held tetrachloroethene and that the pad was not curbed. The tank was removed in 2011.</w:t>
      </w:r>
    </w:p>
    <w:p>
      <w:r>
        <w:rPr>
          <w:b/>
          <w:color w:val="1F4E3D"/>
          <w:sz w:val="21"/>
        </w:rPr>
        <w:t>REC-3, former floor-drain dry well</w:t>
      </w:r>
    </w:p>
    <w:p>
      <w:r>
        <w:t>The 1994 as-built plan shows Building A floor drains discharging to a dry well in the north yard. There is no record of a connection to the municipal sewer before 1988. The structure was located in the field and remains in place.</w:t>
      </w:r>
    </w:p>
    <w:p>
      <w:r>
        <w:rPr>
          <w:b/>
          <w:color w:val="1F4E3D"/>
          <w:sz w:val="21"/>
        </w:rPr>
        <w:t>REC-4, former underground storage tank</w:t>
      </w:r>
    </w:p>
    <w:p>
      <w:r>
        <w:t>A 4,000 gallon heating oil underground storage tank was removed from the west yard in 1998. The ODEQ tank closure file records a release, a subsequent excavation of approximately 180 tons of soil, and a no further action determination issued 1999-04-14 under the standards then in force. The file notes that post-excavation soil concentrations were left in place at levels above current criteria.</w:t>
      </w:r>
    </w:p>
    <w:p>
      <w:r>
        <w:rPr>
          <w:b/>
          <w:color w:val="1F4E3D"/>
          <w:sz w:val="23"/>
        </w:rPr>
        <w:t>Regional background</w:t>
      </w:r>
    </w:p>
    <w:p>
      <w:r>
        <w:t>The ODEQ Brayton Lowland background soil study (2021) characterises native soils across the surrounding area. Arsenic in native soils ranges from 4 to 22 mg/kg with a mean of 11 mg/kg, reflecting the glaciolacustrine parent material. Lead, chromium, cadmium and nickel in native soils are below the corresponding residential direct contact levels throughout the study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