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3D"/>
          <w:sz w:val="30"/>
        </w:rPr>
        <w:t>PURCHASE AND SALE AGREEMENT - ENVIRONMENTAL PROVISIONS</w:t>
      </w:r>
    </w:p>
    <w:p>
      <w:r>
        <w:rPr>
          <w:i/>
          <w:color w:val="595959"/>
          <w:sz w:val="19"/>
        </w:rPr>
        <w:t>Extract prepared by Oyediran Vance LLP for Kestrel Industrial Partners LLC | 2026-03-06 | Privileged and confidential</w:t>
      </w:r>
    </w:p>
    <w:p>
      <w:r>
        <w:t>The following provisions of the Purchase and Sale Agreement dated 2026-01-08 between Fairlead Holdings LLC as seller and Kestrel Industrial Partners LLC as buyer bear on the environmental assessment. Defined terms carry the meanings given in the Agreement.</w:t>
      </w:r>
    </w:p>
    <w:p>
      <w:r>
        <w:rPr>
          <w:b/>
          <w:color w:val="1F4E3D"/>
          <w:sz w:val="21"/>
        </w:rPr>
        <w:t>Section 4.2, Due Diligence Period</w:t>
      </w:r>
    </w:p>
    <w:p>
      <w:r>
        <w:t>The Due Diligence Period commences on the Effective Date and expires at 5:00 p.m. Eastern time on March 31, 2026. Buyer may terminate this Agreement for any reason or no reason by written notice delivered before expiry, whereupon the Deposit shall be returned in full.</w:t>
      </w:r>
    </w:p>
    <w:p>
      <w:r>
        <w:rPr>
          <w:b/>
          <w:color w:val="1F4E3D"/>
          <w:sz w:val="21"/>
        </w:rPr>
        <w:t>Section 4.3, Extension</w:t>
      </w:r>
    </w:p>
    <w:p>
      <w:r>
        <w:t>Buyer may extend the Due Diligence Period on one occasion by a period not exceeding sixty (60) days by written notice delivered before expiry, accompanied by an additional deposit of $75,000, which shall become non-refundable upon delivery but shall be credited against the Purchase Price at Closing. Seller's consent is not required.</w:t>
      </w:r>
    </w:p>
    <w:p>
      <w:r>
        <w:rPr>
          <w:b/>
          <w:color w:val="1F4E3D"/>
          <w:sz w:val="21"/>
        </w:rPr>
        <w:t>Section 9.1, Environmental Escrow</w:t>
      </w:r>
    </w:p>
    <w:p>
      <w:r>
        <w:t>At Closing, Seller shall deposit into escrow the sum of Three Hundred Fifty Thousand Dollars ($350,000) to be applied against the cost of Remedial Work. Seller's aggregate liability for Remedial Work shall not exceed the escrowed amount, and Buyer shall bear all cost in excess of that sum.</w:t>
      </w:r>
    </w:p>
    <w:p>
      <w:r>
        <w:rPr>
          <w:b/>
          <w:color w:val="1F4E3D"/>
          <w:sz w:val="21"/>
        </w:rPr>
        <w:t>Section 9.2, Indemnity and Known Conditions</w:t>
      </w:r>
    </w:p>
    <w:p>
      <w:r>
        <w:t>Seller shall indemnify Buyer against Environmental Losses arising from Pre-Closing Releases, provided that this indemnity shall not extend to any Known Condition. 'Known Condition' means any condition identified or described in the Phase I Environmental Site Assessment prepared by Marchbank Environmental, Inc. and dated January 22, 2026, or in any governmental file referenced therein.</w:t>
      </w:r>
    </w:p>
    <w:p>
      <w:r>
        <w:rPr>
          <w:b/>
          <w:color w:val="1F4E3D"/>
          <w:sz w:val="21"/>
        </w:rPr>
        <w:t>Section 9.4, Institutional Controls</w:t>
      </w:r>
    </w:p>
    <w:p>
      <w:r>
        <w:t>Buyer shall not record, and shall not permit to be recorded, any activity and use limitation, environmental land use restriction, notice of contamination or comparable instrument against the Property without Seller's prior written consent, which consent shall not be unreasonably withheld or delayed. Seller has disclosed that it will retain the adjoining parcel at 1462 Fairlead Street following Closing.</w:t>
      </w:r>
    </w:p>
    <w:p>
      <w:r>
        <w:rPr>
          <w:b/>
          <w:color w:val="1F4E3D"/>
          <w:sz w:val="21"/>
        </w:rPr>
        <w:t>Section 9.5, Remedial Work</w:t>
      </w:r>
    </w:p>
    <w:p>
      <w:r>
        <w:t>'Remedial Work' means any investigation, removal, treatment, monitoring, institutional control or other response action required by an Environmental Authority, or reasonably necessary to obtain a closure determination, in respect of a Pre-Closing Release.</w:t>
      </w:r>
    </w:p>
    <w:p>
      <w:r>
        <w:rPr>
          <w:b/>
          <w:color w:val="1F4E3D"/>
          <w:sz w:val="21"/>
        </w:rPr>
        <w:t>Section 11.6, Closing</w:t>
      </w:r>
    </w:p>
    <w:p>
      <w:r>
        <w:t>Closing shall occur no later than thirty (30) days following expiry of the Due Diligence Period, as the same may be extended under Section 4.3.</w:t>
      </w:r>
    </w:p>
    <w:p>
      <w:r>
        <w:rPr>
          <w:b/>
          <w:color w:val="1F4E3D"/>
          <w:sz w:val="23"/>
        </w:rPr>
        <w:t>Counsel's note</w:t>
      </w:r>
    </w:p>
    <w:p>
      <w:r>
        <w:t>Two points for the consultant. First, Section 9.2 turns on what the Phase I identified, not on what caused the impact; if a condition is described in that report or in a file it cites, the indemnity does not reach it and the cost sits with Buyer above the escrow. Second, Section 9.4 means any remedy that depends on a deed restriction is not within Buyer's unilateral control. If your recommendation relies on one, say so plainly and tell us what the alternative costs, because that is the number I will be negotiating against. - B. Oyediran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