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4057"/>
          <w:sz w:val="28"/>
        </w:rPr>
        <w:t>NOTICE OF END OF SUPPORT</w:t>
      </w:r>
    </w:p>
    <w:p>
      <w:r>
        <w:rPr>
          <w:i/>
          <w:color w:val="595959"/>
          <w:sz w:val="18"/>
        </w:rPr>
        <w:t>Calderstone Business Systems Limited to Verwood Specialty Chemicals | Reference CBS-EOS-2451 | 2026-04-30</w:t>
      </w:r>
    </w:p>
    <w:p>
      <w:r>
        <w:t>This notice is given under clause 14.2 of the support agreement between Calderstone Business Systems Limited and Verwood Specialty Chemicals dated 3 March 2016.</w:t>
      </w:r>
    </w:p>
    <w:p>
      <w:r>
        <w:rPr>
          <w:b/>
          <w:color w:val="2E4057"/>
          <w:sz w:val="23"/>
        </w:rPr>
        <w:t>End of support</w:t>
      </w:r>
    </w:p>
    <w:p>
      <w:r>
        <w:t>Calderstone will cease all support for the Calderstone Enterprise product line, including corrective maintenance, regulatory updates and security patching, with effect from 30 June 2027. No incident raised after that date will be accepted, whether or not the underlying fault arose before it.</w:t>
      </w:r>
    </w:p>
    <w:p>
      <w:r>
        <w:rPr>
          <w:b/>
          <w:color w:val="2E4057"/>
          <w:sz w:val="23"/>
        </w:rPr>
        <w:t>Extended support</w:t>
      </w:r>
    </w:p>
    <w:p>
      <w:r>
        <w:t>Calderstone does not offer extended support for this product line. The product is being withdrawn rather than transitioned and no successor arrangement is available at any price. Enquiries about extension will not be entertained.</w:t>
      </w:r>
    </w:p>
    <w:p>
      <w:r>
        <w:rPr>
          <w:b/>
          <w:color w:val="2E4057"/>
          <w:sz w:val="23"/>
        </w:rPr>
        <w:t>Effect on the licence</w:t>
      </w:r>
    </w:p>
    <w:p>
      <w:r>
        <w:t>The perpetual licence survives the end of support. The customer may continue to operate the software unsupported at its own risk. Verwood should note that the product will no longer receive statutory or fiscal updates, which in most jurisdictions makes continued use impracticable for a trading entity.</w:t>
      </w:r>
    </w:p>
    <w:p>
      <w:r>
        <w:rPr>
          <w:b/>
          <w:color w:val="2E4057"/>
          <w:sz w:val="23"/>
        </w:rPr>
        <w:t>Scope of the withdrawal</w:t>
      </w:r>
    </w:p>
    <w:p>
      <w:r>
        <w:t>For the avoidance of doubt, the withdrawal covers the application, the database layer supplied with it, the reporting module and all interface adaptors licensed under the same agreement. It covers corrective maintenance, defect correction, statutory and fiscal updates, security patching, the customer support desk, the online knowledge base and the annual health check visit. Calderstone will not issue a final maintenance release and there is no arrangement under which a defect identified before the withdrawal date will be corrected after it.</w:t>
      </w:r>
    </w:p>
    <w:p>
      <w:r>
        <w:rPr>
          <w:b/>
          <w:color w:val="2E4057"/>
          <w:sz w:val="23"/>
        </w:rPr>
        <w:t>Assistance with transition</w:t>
      </w:r>
    </w:p>
    <w:p>
      <w:r>
        <w:t>Calderstone will, on request received not later than sixty days before the withdrawal date, provide a single extract of the customer's data in the delimited format described in schedule 4 of the support agreement, at the rates then in force. Calderstone will not provide reconciliation of that extract, mapping to any successor system, or consultancy in connection with a migration. Requests received after that date will not be accepted.</w:t>
      </w:r>
    </w:p>
    <w:p>
      <w:r>
        <w:rPr>
          <w:b/>
          <w:color w:val="2E4057"/>
          <w:sz w:val="23"/>
        </w:rPr>
        <w:t>Contact</w:t>
      </w:r>
    </w:p>
    <w:p>
      <w:r>
        <w:t>Correspondence in connection with this notice should be addressed to the account director, Calderstone Business Systems Limited, quoting the reference above. Calderstone will not respond to correspondence seeking to vary the withdrawal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