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E4057"/>
          <w:sz w:val="28"/>
        </w:rPr>
        <w:t>PROGRAMME BRIEF</w:t>
      </w:r>
    </w:p>
    <w:p>
      <w:r>
        <w:rPr>
          <w:i/>
          <w:color w:val="595959"/>
          <w:sz w:val="18"/>
        </w:rPr>
        <w:t>Verwood Specialty Chemicals | ERP replacement programme | Issued to Ostley Rowan Consulting | Marguerite Delahaye, Programme Director | 2026-08-24</w:t>
      </w:r>
    </w:p>
    <w:p>
      <w:r>
        <w:t>We are replacing the legacy ERP across all fourteen manufacturing and distribution sites. The software is selected, the core build is complete and the first site can take a cutover team from the week commencing 7 September 2026, which we are calling programme week 1. What I need from you is the sequence.</w:t>
      </w:r>
    </w:p>
    <w:p>
      <w:r>
        <w:t>I have had two attempts at this internally and both fell over. The first ran the biggest sites first, which felt right and turned out to be wrong. The second spread the sites evenly across the programme and put half of them into weeks we cannot touch. I would rather you built it from the constraints than from an instinct about which site is most important.</w:t>
      </w:r>
    </w:p>
    <w:p>
      <w:r>
        <w:rPr>
          <w:b/>
          <w:color w:val="2E4057"/>
          <w:sz w:val="23"/>
        </w:rPr>
        <w:t>Deployment capacity</w:t>
      </w:r>
    </w:p>
    <w:p>
      <w:r>
        <w:t>We have 3 deployment teams. A team runs one site at a time and cannot be split. The number of weeks each site occupies a team is in the site profile and is not negotiable; those durations came out of the pilot and finance has already approved the resourcing against them.</w:t>
      </w:r>
    </w:p>
    <w:p>
      <w:r>
        <w:rPr>
          <w:b/>
          <w:color w:val="2E4057"/>
          <w:sz w:val="23"/>
        </w:rPr>
        <w:t>Master data</w:t>
      </w:r>
    </w:p>
    <w:p>
      <w:r>
        <w:t>Three sites own master data for the group. Bridgnorth owns material master, Halesworth owns customer master and Kinloss owns vendor master. A site that consumes a master data domain cannot cut over until the site that owns that domain has completed its own cutover. The dependencies for each site are in the site profile.</w:t>
      </w:r>
    </w:p>
    <w:p>
      <w:r>
        <w:rPr>
          <w:b/>
          <w:color w:val="2E4057"/>
          <w:sz w:val="23"/>
        </w:rPr>
        <w:t>Financial blackouts</w:t>
      </w:r>
    </w:p>
    <w:p>
      <w:r>
        <w:t>No cutover may run during a financial blackout. A blackout covers the week containing a quarter end and the week before it, and the first three weeks of January for the annual close. A cutover may not start in a blackout week and may not run through one; if a site's cutover would span a blackout, it has to sit entirely before or entirely after.</w:t>
      </w:r>
    </w:p>
    <w:p>
      <w:r>
        <w:rPr>
          <w:b/>
          <w:color w:val="2E4057"/>
          <w:sz w:val="23"/>
        </w:rPr>
        <w:t>Plant shutdowns</w:t>
      </w:r>
    </w:p>
    <w:p>
      <w:r>
        <w:t>Two sites run continuous process plant and cannot take a cutover while producing. Mobile and Sarnia can only begin a cutover in their annual maintenance shutdown, and the shutdown week for each is in the site profile. Those windows do not move; they are set by the turnaround contractors a year in advance.</w:t>
      </w:r>
    </w:p>
    <w:p>
      <w:r>
        <w:rPr>
          <w:b/>
          <w:color w:val="2E4057"/>
          <w:sz w:val="23"/>
        </w:rPr>
        <w:t>Regulated site</w:t>
      </w:r>
    </w:p>
    <w:p>
      <w:r>
        <w:t>Cork manufactures under GMP. After the technical cutover completes, Cork requires a 12 week computer system validation period before it may transact on the new system. The site is not live until validation completes. Validation does not occupy a deployment team.</w:t>
      </w:r>
    </w:p>
    <w:p>
      <w:r>
        <w:rPr>
          <w:b/>
          <w:color w:val="2E4057"/>
          <w:sz w:val="23"/>
        </w:rPr>
        <w:t>The date that matters</w:t>
      </w:r>
    </w:p>
    <w:p>
      <w:r>
        <w:t>Every site must be live on the new system before the legacy vendor's support ends. The vendor's notice is attached. Live means transacting, which for Cork means after validation and not after the technical cutover.</w:t>
      </w:r>
    </w:p>
    <w:p>
      <w:r>
        <w:rPr>
          <w:b/>
          <w:color w:val="2E4057"/>
          <w:sz w:val="23"/>
        </w:rPr>
        <w:t>What I want back</w:t>
      </w:r>
    </w:p>
    <w:p>
      <w:r>
        <w:t>The sequence: which site, in which wave, on which team, starting which programme week. I want to be able to see the team loading week by week, and I want each constraint shown as satisfied rather than asserted, because I will be taking this to a steering committee that has already rejected two plans.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