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F5C"/>
          <w:sz w:val="30"/>
        </w:rPr>
        <w:t>CORDELL SPECIALTY COATINGS</w:t>
      </w:r>
    </w:p>
    <w:p>
      <w:r>
        <w:rPr>
          <w:i/>
          <w:color w:val="595959"/>
          <w:sz w:val="19"/>
        </w:rPr>
        <w:t>Request to Wren &amp; Balfour Environmental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/>
            <w:r>
              <w:rPr>
                <w:b/>
              </w:rPr>
              <w:t>From</w:t>
            </w:r>
          </w:p>
        </w:tc>
        <w:tc>
          <w:tcPr>
            <w:tcW w:type="dxa" w:w="8496"/>
          </w:tcPr>
          <w:p>
            <w:r>
              <w:t>Anselm Vieira, Plant Manager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8496"/>
          </w:tcPr>
          <w:p>
            <w:r>
              <w:t>May 11, 2026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</w:rPr>
              <w:t>Subject</w:t>
            </w:r>
          </w:p>
        </w:tc>
        <w:tc>
          <w:tcPr>
            <w:tcW w:type="dxa" w:w="8496"/>
          </w:tcPr>
          <w:p>
            <w:r>
              <w:t>Line 4 project, air permitting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</w:rPr>
              <w:t>Site</w:t>
            </w:r>
          </w:p>
        </w:tc>
        <w:tc>
          <w:tcPr>
            <w:tcW w:type="dxa" w:w="8496"/>
          </w:tcPr>
          <w:p>
            <w:r>
              <w:t>Cordell Specialty Coatings, Hollis Junction, Calvert</w:t>
            </w:r>
          </w:p>
        </w:tc>
      </w:tr>
    </w:tbl>
    <w:p/>
    <w:p>
      <w:r>
        <w:t>We have board approval to install a fourth topcoat line and the equipment order goes in at the end of June. Before it does I need to know what we are walking into on the air permit, because our corporate counsel has told me that if this turns into a major source review the schedule is dead and the project goes back to the board.</w:t>
      </w:r>
    </w:p>
    <w:p>
      <w:r>
        <w:t>My own arithmetic says we are fine. The new line adds about thirty tons a year of solvent after the oxidiser, which is comfortably under the forty ton figure our last consultant told me was the number that matters. I would like that confirmed or corrected before I commit capital.</w:t>
      </w:r>
    </w:p>
    <w:p>
      <w:r>
        <w:rPr>
          <w:b/>
          <w:color w:val="1B4F5C"/>
          <w:sz w:val="23"/>
        </w:rPr>
        <w:t>What I need</w:t>
      </w:r>
    </w:p>
    <w:p>
      <w:pPr>
        <w:pStyle w:val="ListNumber"/>
      </w:pPr>
      <w:r>
        <w:t>Whether the project triggers major source review, and the arithmetic behind it rather than a conclusion.</w:t>
      </w:r>
    </w:p>
    <w:p>
      <w:pPr>
        <w:pStyle w:val="ListNumber"/>
      </w:pPr>
      <w:r>
        <w:t>If it does, what our options are and what each one costs. I would rather spend money on equipment than on offsets and lawyers.</w:t>
      </w:r>
    </w:p>
    <w:p>
      <w:pPr>
        <w:pStyle w:val="ListNumber"/>
      </w:pPr>
      <w:r>
        <w:t>How long each option takes to permit. The line has to be running by the second quarter of next year.</w:t>
      </w:r>
    </w:p>
    <w:p>
      <w:pPr>
        <w:pStyle w:val="ListNumber"/>
      </w:pPr>
      <w:r>
        <w:t>Anything else the project drags in that we have not thought about.</w:t>
      </w:r>
    </w:p>
    <w:p>
      <w:r>
        <w:rPr>
          <w:b/>
          <w:color w:val="1B4F5C"/>
          <w:sz w:val="23"/>
        </w:rPr>
        <w:t>Things you should know</w:t>
      </w:r>
    </w:p>
    <w:p>
      <w:pPr>
        <w:pStyle w:val="ListBullet"/>
      </w:pPr>
      <w:r>
        <w:t>We run Line 4 the same way we run the others, one shift, five days a week, about two hundred and fifty days a year. Nobody here has ever run a coating line around the clock.</w:t>
      </w:r>
    </w:p>
    <w:p>
      <w:pPr>
        <w:pStyle w:val="ListBullet"/>
      </w:pPr>
      <w:r>
        <w:t>We debottlenecked Line 2 last August, mostly a new pump skid and a wider oven. Throughput went up. I do not believe we filed anything for it because nobody told us we had to.</w:t>
      </w:r>
    </w:p>
    <w:p>
      <w:pPr>
        <w:pStyle w:val="ListBullet"/>
      </w:pPr>
      <w:r>
        <w:t>We shut Line 1 down permanently in 2022 and I have always understood we had credit banked from that. If we can use it here, use it.</w:t>
      </w:r>
    </w:p>
    <w:p>
      <w:pPr>
        <w:pStyle w:val="ListBullet"/>
      </w:pPr>
      <w:r>
        <w:t>The oxidiser vendor has quoted the hood arrangement we use on Lines 1 through 3. If a different arrangement helps us, say so, but it has to be in the same building.</w:t>
      </w:r>
    </w:p>
    <w:p>
      <w:r>
        <w:t>- Anselm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