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F5C"/>
          <w:sz w:val="30"/>
        </w:rPr>
        <w:t>AIR PERMIT TO OPERATE</w:t>
      </w:r>
    </w:p>
    <w:p>
      <w:r>
        <w:rPr>
          <w:i/>
          <w:color w:val="595959"/>
          <w:sz w:val="19"/>
        </w:rPr>
        <w:t>Permit A-2019-0884, Cordell Specialty Coatings, Hollis Junction, Calvert | Issued by the Calvert Division of Air Quality | Effective 2019-06-01, renewed 2024-05-30</w:t>
      </w:r>
    </w:p>
    <w:p>
      <w:r>
        <w:rPr>
          <w:b/>
          <w:color w:val="1B4F5C"/>
          <w:sz w:val="23"/>
        </w:rPr>
        <w:t>Condition 3.1, Facility-wide emission limitation</w:t>
      </w:r>
    </w:p>
    <w:p>
      <w:r>
        <w:t>Emissions of volatile organic compounds from all emission units at the facility, excluding fugitive emissions, shall not exceed 82.0 tons in any consecutive twelve month period. This limitation is federally enforceable and is accepted by the permittee for the purpose of establishing that the facility is not a major stationary source under Calvert Air Regulation 5.</w:t>
      </w:r>
    </w:p>
    <w:p>
      <w:r>
        <w:rPr>
          <w:b/>
          <w:color w:val="1B4F5C"/>
          <w:sz w:val="23"/>
        </w:rPr>
        <w:t>Condition 3.2, Recordkeeping</w:t>
      </w:r>
    </w:p>
    <w:p>
      <w:r>
        <w:t>The permittee shall maintain monthly records of coating and solvent usage by product, and shall compute emissions using the volatile organic compound content less water and exempt compounds reported on the manufacturer's data sheet.</w:t>
      </w:r>
    </w:p>
    <w:p>
      <w:r>
        <w:rPr>
          <w:b/>
          <w:color w:val="1B4F5C"/>
          <w:sz w:val="23"/>
        </w:rPr>
        <w:t>Condition 4.4, Control equipment</w:t>
      </w:r>
    </w:p>
    <w:p>
      <w:r>
        <w:t>Emission units 1 through 3 shall be vented to the regenerative thermal oxidiser at all times the units are in operation. The oxidiser shall maintain a destruction efficiency of not less than 98 percent. No capture efficiency is specified in this permit for units 1 through 3.</w:t>
      </w:r>
    </w:p>
    <w:p>
      <w:r>
        <w:rPr>
          <w:b/>
          <w:color w:val="1B4F5C"/>
          <w:sz w:val="23"/>
        </w:rPr>
        <w:t>Condition 5.1, Operating schedule</w:t>
      </w:r>
    </w:p>
    <w:p>
      <w:r>
        <w:t>No condition of this permit restricts the hours of operation of any emission unit.</w:t>
      </w:r>
    </w:p>
    <w:p>
      <w:r>
        <w:rPr>
          <w:b/>
          <w:color w:val="1B4F5C"/>
          <w:sz w:val="23"/>
        </w:rPr>
        <w:t>Condition 7.2, Modifications</w:t>
      </w:r>
    </w:p>
    <w:p>
      <w:r>
        <w:t>The permittee shall not construct, install or modify any emission unit at the facility without first obtaining a revision to this permit. An application shall be filed not less than ninety days before construction commences.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