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F5C"/>
          <w:sz w:val="30"/>
        </w:rPr>
        <w:t>CONTROL EQUIPMENT EVALUATION</w:t>
      </w:r>
    </w:p>
    <w:p>
      <w:r>
        <w:rPr>
          <w:i/>
          <w:color w:val="595959"/>
          <w:sz w:val="19"/>
        </w:rPr>
        <w:t>Thurlow Combustion Systems | Issued to Wren &amp; Balfour | 2026-05-06 | Cordell Line 4</w:t>
      </w:r>
    </w:p>
    <w:p>
      <w:r>
        <w:rPr>
          <w:b/>
          <w:color w:val="1B4F5C"/>
          <w:sz w:val="23"/>
        </w:rPr>
        <w:t>Existing oxidiser</w:t>
      </w:r>
    </w:p>
    <w:p>
      <w:r>
        <w:t>The existing regenerative thermal oxidiser has demonstrated a destruction efficiency of 98% on the most recent stack test and has sufficient thermal capacity to accept the Line 4 exhaust without modification, provided the collected volume does not increase beyond the present arrangement.</w:t>
      </w:r>
    </w:p>
    <w:p>
      <w:r>
        <w:rPr>
          <w:b/>
          <w:color w:val="1B4F5C"/>
          <w:sz w:val="23"/>
        </w:rPr>
        <w:t>Option 1, hood arrangement as used on Lines 1 to 3</w:t>
      </w:r>
    </w:p>
    <w:p>
      <w:r>
        <w:t>Side draft hoods with a partial enclosure over the application zone. Measured capture efficiency on Line 3 under the same arrangement was 92%. This is the arrangement in our base quotation. No change to the oxidiser is required.</w:t>
      </w:r>
    </w:p>
    <w:p>
      <w:r>
        <w:rPr>
          <w:b/>
          <w:color w:val="1B4F5C"/>
          <w:sz w:val="23"/>
        </w:rPr>
        <w:t>Option 2, permanent total enclosure</w:t>
      </w:r>
    </w:p>
    <w:p>
      <w:r>
        <w:t>A permanent total enclosure around the application zone and flash-off, built and verified to the agency's enclosure criteria, achieves a capture efficiency of 100% by definition. The enclosure raises the collected air volume by roughly forty percent, which exceeds the present oxidiser capacity, so the oxidiser would require upsizing. Both items are priced in the cost schedule.</w:t>
      </w:r>
    </w:p>
    <w:p>
      <w:pPr>
        <w:pStyle w:val="IntenseQuote"/>
      </w:pPr>
      <w:r>
        <w:t>We are not able to advise which arrangement the project requires. That depends on the applicability calculation rather than on the equipment.</w:t>
      </w:r>
    </w:p>
    <w:p>
      <w:r>
        <w:rPr>
          <w:b/>
          <w:color w:val="1B4F5C"/>
          <w:sz w:val="23"/>
        </w:rPr>
        <w:t>Cleanup solvent</w:t>
      </w:r>
    </w:p>
    <w:p>
      <w:r>
        <w:t>Manual wipe cleaning and gun flushing are carried out at a bench outside the application zone and are not ducted to the oxidiser under either option. No practical collection arrangement was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