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F5C"/>
          <w:sz w:val="30"/>
        </w:rPr>
        <w:t>PERMIT AND ENFORCEMENT HISTORY</w:t>
      </w:r>
    </w:p>
    <w:p>
      <w:r>
        <w:rPr>
          <w:i/>
          <w:color w:val="595959"/>
          <w:sz w:val="19"/>
        </w:rPr>
        <w:t>Cordell Specialty Coatings | Compiled by Wren &amp; Balfour from the Calvert Division of Air Quality public file | 2026-05-08</w:t>
      </w:r>
    </w:p>
    <w:p>
      <w:r>
        <w:rPr>
          <w:b/>
          <w:color w:val="1B4F5C"/>
          <w:sz w:val="21"/>
        </w:rPr>
        <w:t>2019-06-01, Permit A-2019-0884 issued</w:t>
      </w:r>
    </w:p>
    <w:p>
      <w:r>
        <w:t>Initial permit to operate. Facility-wide volatile organic compound limitation of 82.0 tons per twelve month period accepted by the permittee to avoid classification as a major stationary source.</w:t>
      </w:r>
    </w:p>
    <w:p>
      <w:r>
        <w:rPr>
          <w:b/>
          <w:color w:val="1B4F5C"/>
          <w:sz w:val="21"/>
        </w:rPr>
        <w:t>2022-04, Line 1 permanently shut down</w:t>
      </w:r>
    </w:p>
    <w:p>
      <w:r>
        <w:t>Coating Line 1 was dismantled and removed. The agency file records a reduction in potential emissions of 14.0 tons per year associated with the shutdown.</w:t>
      </w:r>
    </w:p>
    <w:p>
      <w:r>
        <w:rPr>
          <w:b/>
          <w:color w:val="1B4F5C"/>
          <w:sz w:val="21"/>
        </w:rPr>
        <w:t>2023-09-14, Permit revision R-23-0412</w:t>
      </w:r>
    </w:p>
    <w:p>
      <w:r>
        <w:t>Revision issued to authorise the Line 3 coating changeover. The agency's determination letter states that the emissions increase from the changeover was offset by the reduction associated with the 2022 shutdown of Line 1, and that the reduction was relied upon in full in making that determination.</w:t>
      </w:r>
    </w:p>
    <w:p>
      <w:r>
        <w:rPr>
          <w:b/>
          <w:color w:val="1B4F5C"/>
          <w:sz w:val="21"/>
        </w:rPr>
        <w:t>2024-05-30, Permit renewed</w:t>
      </w:r>
    </w:p>
    <w:p>
      <w:r>
        <w:t>Renewed without change to the facility-wide limitation.</w:t>
      </w:r>
    </w:p>
    <w:p>
      <w:r>
        <w:rPr>
          <w:b/>
          <w:color w:val="1B4F5C"/>
          <w:sz w:val="21"/>
        </w:rPr>
        <w:t>2025-08, Line 2 modification</w:t>
      </w:r>
    </w:p>
    <w:p>
      <w:r>
        <w:t>No application appears in the agency file for the Line 2 pump skid and oven extension. The plant confirms the work was completed in August 2025 and that throughput increased thereafter.</w:t>
      </w:r>
    </w:p>
    <w:p>
      <w:r>
        <w:rPr>
          <w:b/>
          <w:color w:val="1B4F5C"/>
          <w:sz w:val="21"/>
        </w:rPr>
        <w:t>Compliance</w:t>
      </w:r>
    </w:p>
    <w:p>
      <w:r>
        <w:t>No notices of violation, consent orders or penalty actions appear in the file. The most recent annual emission statement was filed on time. The most recent stack test on the oxidiser was witnessed by the agency on 2024-10-08.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