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405E"/>
          <w:sz w:val="26"/>
        </w:rPr>
        <w:t>Wexford Engineering Services</w:t>
      </w:r>
    </w:p>
    <w:p>
      <w:r>
        <w:rPr>
          <w:b w:val="0"/>
          <w:color w:val="202020"/>
          <w:sz w:val="19"/>
        </w:rPr>
        <w:t>To: Manufacturing engineering. From: L. Farthing, Program. Date: 2026-08-14.</w:t>
      </w:r>
    </w:p>
    <w:p>
      <w:r>
        <w:rPr>
          <w:b w:val="0"/>
          <w:color w:val="202020"/>
          <w:sz w:val="21"/>
        </w:rPr>
        <w:t>Six lots are sitting in the quarantine cage and the Harlow build needs four of those part numbers in the cell by the first week of September. I need dispositions today, not a recommendation to discuss on Monday.</w:t>
      </w:r>
    </w:p>
    <w:p>
      <w:r>
        <w:rPr>
          <w:b w:val="0"/>
          <w:color w:val="202020"/>
          <w:sz w:val="21"/>
        </w:rPr>
        <w:t>What I care about is two numbers: what this costs Wexford, and what the suppliers are carrying. Finance will ask me for the first and the commercial team will ask me for the second, and last quarter I gave them a single total that mixed the two and had to unpick it in front of both.</w:t>
      </w:r>
    </w:p>
    <w:p>
      <w:r>
        <w:rPr>
          <w:b w:val="0"/>
          <w:color w:val="202020"/>
          <w:sz w:val="21"/>
        </w:rPr>
        <w:t>Be careful with the manifolds. The finish reading on one of those lots looks comfortable against the tolerance block and I have been told twice that it is fine. I do not believe it is fine, and I would like the drawing consulted rather than the tolerance block.</w:t>
      </w:r>
    </w:p>
    <w:p>
      <w:r>
        <w:rPr>
          <w:b w:val="0"/>
          <w:color w:val="202020"/>
          <w:sz w:val="21"/>
        </w:rPr>
        <w:t>The adaptor lot has been in the cage since June, which is my fault as much as anyone's. If that has closed a door, tell me it has closed rather than writing it up as though we still have the option. I would rather take the cost on the chin than find out in October that a claim was refused because we sat on it.</w:t>
      </w:r>
    </w:p>
    <w:p>
      <w:r>
        <w:rPr>
          <w:b w:val="0"/>
          <w:color w:val="202020"/>
          <w:sz w:val="21"/>
        </w:rPr>
        <w:t>One of these lots was hit on our own dock. I do not want that one going to a supplier as a claim, whatever it looks like on the inspection sheet, because we will lose the claim and the relationship in the same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Quarantine cage - dispositions needed today</dc:title>
  <dc:subject/>
  <dc:creator>L. Farthing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