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4405E"/>
          <w:sz w:val="26"/>
        </w:rPr>
        <w:t>Wexford Engineering Services - Quality Standard QS-9: Disposition of Discrepant Material</w:t>
      </w:r>
    </w:p>
    <w:p>
      <w:r>
        <w:rPr>
          <w:b w:val="0"/>
          <w:color w:val="202020"/>
          <w:sz w:val="19"/>
        </w:rPr>
        <w:t>Issue 7, effective 2026-01-19. Owner: Manufacturing Engineering. Applies to material received against a Wexford purchase order and found discrepant before it is issued to a build.</w:t>
      </w:r>
    </w:p>
    <w:p>
      <w:r>
        <w:rPr>
          <w:b w:val="0"/>
          <w:color w:val="202020"/>
          <w:sz w:val="21"/>
        </w:rPr>
        <w:t>1. Purpose. This standard fixes the order in which dispositions are considered, so that the same discrepancy reaches the same answer whoever writes it up, and so that the cost of a discrepancy lands on whoever caused it. It was rewritten after a quarter in which two lots of the same defect were dispositioned differently by two engineers, and the difference cost the program more than either repair.</w:t>
      </w:r>
    </w:p>
    <w:p>
      <w:r>
        <w:rPr>
          <w:b w:val="0"/>
          <w:color w:val="202020"/>
          <w:sz w:val="21"/>
        </w:rPr>
        <w:t>2. Order of consideration. The dispositions below are considered in order. The first one that is available is the disposition; later ones are not weighed against it. Cost is not the first question, and an engineer who begins with the cheapest option will reach the wrong answer on any lot the supplier should have taken back.</w:t>
      </w:r>
    </w:p>
    <w:p>
      <w:r>
        <w:rPr>
          <w:b w:val="0"/>
          <w:color w:val="202020"/>
          <w:sz w:val="21"/>
        </w:rPr>
        <w:t>3. Use as is. Material is used as is where the measured characteristic falls inside the general tolerance block on the drawing and no specific note on that drawing governs the characteristic. A specific note overrides the general tolerance block for the characteristic it names, and where a note states that no concession is available, the material is not used as is however small the deviation looks against the general block.</w:t>
      </w:r>
    </w:p>
    <w:p>
      <w:r>
        <w:rPr>
          <w:b w:val="0"/>
          <w:color w:val="202020"/>
          <w:sz w:val="21"/>
        </w:rPr>
        <w:t>4. Return to vendor. Where use as is is not available, the lot is returned to the vendor if the defect is attributable to the supplier and the lot is inside the claim window stated on the purchase order terms, counted in days from the receipt date to the date of disposition. Cost of a returned lot sits with the supplier. The replacement lead time is recorded against the lot as schedule exposure, because the program feels the delay whoever pays for the parts.</w:t>
      </w:r>
    </w:p>
    <w:p>
      <w:r>
        <w:rPr>
          <w:b w:val="0"/>
          <w:color w:val="202020"/>
          <w:sz w:val="21"/>
        </w:rPr>
        <w:t>5. Attribution. A defect is attributable to the supplier where it is a manufactured characteristic outside the drawing. Damage sustained after receipt, including handling damage on our own dock, is not attributable to the supplier whatever it resembles, and the return route is closed to it from the start rather than after a claim is refused.</w:t>
      </w:r>
    </w:p>
    <w:p>
      <w:r>
        <w:rPr>
          <w:b w:val="0"/>
          <w:color w:val="202020"/>
          <w:sz w:val="21"/>
        </w:rPr>
        <w:t>6. Rework or replace. Where neither use as is nor return to vendor is available, the lot is reworked or scrapped and replaced, whichever costs less. Replacement is costed net of any scrap credit recoverable on the discrepant material. Where the two are equal the lot is reworked, since rework does not consume the replacement lead time. Cost of a lot dispositioned under this clause sits with Wexford.</w:t>
      </w:r>
    </w:p>
    <w:p>
      <w:r>
        <w:rPr>
          <w:b w:val="0"/>
          <w:color w:val="202020"/>
          <w:sz w:val="21"/>
        </w:rPr>
        <w:t>7. Recording. Every lot carries one disposition, the clause that produced it, the cost and the party bearing it. A lot returned to the vendor is recorded at the replacement value it represents, so the program can see what the supplier is carrying even though it is not a Wexford cost.</w:t>
      </w:r>
    </w:p>
    <w:p>
      <w:r>
        <w:rPr>
          <w:b w:val="0"/>
          <w:color w:val="202020"/>
          <w:sz w:val="21"/>
        </w:rPr>
        <w:t>7a. Partial lots. Where a defect affects part of a lot, the disposition is taken on the affected pieces and the conforming balance is released to the build under the same lot number, with the split recorded. Rework and replacement quotes on the purchase terms are quoted for the affected pieces and are used as quoted; they are not scaled to the whole lot, and a quote that plainly covers the whole lot is queried with the supplier before it is used in a comparison.</w:t>
      </w:r>
    </w:p>
    <w:p>
      <w:r>
        <w:rPr>
          <w:b w:val="0"/>
          <w:color w:val="202020"/>
          <w:sz w:val="21"/>
        </w:rPr>
        <w:t>7b. Schedule exposure. A lot returned to the vendor or scrapped and replaced does not arrive again until the replacement lead time on the purchase terms has run. That interval is recorded against the lot whether or not Wexford is paying for the parts, and lots whose replacement would land inside a build window are listed separately for the program rather than left to be inferred from the lead-time column.</w:t>
      </w:r>
    </w:p>
    <w:p>
      <w:r>
        <w:rPr>
          <w:b w:val="0"/>
          <w:color w:val="202020"/>
          <w:sz w:val="21"/>
        </w:rPr>
        <w:t>8. Reporting. The disposition record states the Wexford cost total, the value returned to suppliers, and the lots whose replacement lead time falls inside the build window. Where a claim window has expired, the report says so plainly and names the days elapsed, because that is the number a program manager will ask about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QS-9 Disposition of Discrepant Material</dc:title>
  <dc:subject/>
  <dc:creator>D. Hocutt</dc:creator>
  <cp:keywords/>
  <dc:description>generated by python-docx</dc:description>
  <cp:lastModifiedBy/>
  <cp:revision>1</cp:revision>
  <dcterms:created xsi:type="dcterms:W3CDTF">2013-12-23T23:15:00Z</dcterms:created>
  <dcterms:modified xsi:type="dcterms:W3CDTF">2013-12-23T23:15:00Z</dcterms:modified>
  <cp:category/>
</cp:coreProperties>
</file>