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32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ProcessesCommunication</w:t>
      </w:r>
    </w:p>
    <w:p>
      <w:pPr>
        <w:spacing w:after="360"/>
        <w:rPr>
          <w:sz w:val="22"/>
          <w:szCs w:val="22"/>
        </w:rPr>
      </w:pPr>
      <w:r>
        <w:rPr>
          <w:sz w:val="22"/>
          <w:szCs w:val="22"/>
        </w:rPr>
        <w:t xml:space="preserve">The project consists of two independent CLI applications — Producer and Consumer — that exchange data over POSIX shared memory without any third-party library that hides the inter-process transport under the hood. Producer generates packets of random bytes of a configured size, attaches metadata to each one (sequence number, timestamp, checksum), and publishes them into a ring buffer. Consumer attaches to the same buffer, verifies each packet, and prints throughput statistics once a second. Both applications can be independently paused and resumed via custom signals or a keypress.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Architecture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Producer and Consumer are two independent processes with no parent/child relationship, each started by the user separately. Data exchange goes through a named POSIX shared memory segment (shm_open + mmap) holding a ring buffer of fixed-size slots. Synchronization between the processes is implemented with atomic read/write indices and the Linux futex() syscall (no mutex/semaphore). On buffer overflow, Producer overwrites the oldest unread packet (overwrite-oldest).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Why shared memory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The assignment requires transferring data between processes in the most efficient way and forbids libraries that hide IPC under the hood (boost::interprocess, ZeroMQ, etc.). A named pipe (FIFO) and a Unix domain socket both copy data twice through the kernel per message (user → kernel → user), and every transfer is a read()/write() syscall. POSIX shared memory removes that overhead: both processes see the same physical memory directly, and data is copied once, with no kernel round-trip per packet. Combined with lock-free synchronization on atomics and futex (instead of a blocking mutex/semaphore per packet), this gives the highest achievable throughput on Linux with no third-party dependencies.</w:t>
      </w:r>
    </w:p>
    <w:p>
      <w:pPr>
        <w:spacing w:after="1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Repository layout</w:t>
      </w:r>
    </w:p>
    <w:p>
      <w:pPr>
        <w:spacing w:after="320"/>
        <w:rPr>
          <w:sz w:val="22"/>
          <w:szCs w:val="22"/>
        </w:rPr>
      </w:pPr>
      <w:r>
        <w:rPr>
          <w:sz w:val="22"/>
          <w:szCs w:val="22"/>
        </w:rPr>
        <w:t xml:space="preserve">doc/producer and doc/consumer contain the class-level design for each application: a brief description of each class and its responsibility, a class diagram, and a sequence diagram for one iteration of its work.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US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ProcessesCommunication doc generator</Application>
</Properties>
</file>

<file path=docProps/core.xml><?xml version="1.0" encoding="utf-8"?>
<cp:coreProperties xmlns:cp="http://schemas.openxmlformats.org/package/2006/metadata/core-properties" xmlns:dc="http://purl.org/dc/elements/1.1/">
  <dc:title>Producer Design</dc:title>
  <dc:creator>ProcessesCommunication</dc:creator>
</cp:coreProperties>
</file>