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D67AFE">
      <w:pPr>
        <w:jc w:val="center"/>
        <w:rPr>
          <w:rFonts w:ascii="黑体" w:eastAsia="黑体"/>
          <w:sz w:val="28"/>
          <w:szCs w:val="36"/>
        </w:rPr>
      </w:pPr>
      <w:r>
        <w:rPr>
          <w:rFonts w:hint="eastAsia" w:ascii="黑体" w:eastAsia="黑体"/>
          <w:sz w:val="28"/>
          <w:szCs w:val="36"/>
        </w:rPr>
        <w:t>佛山大学《IT项目管理》实验报告</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1"/>
        <w:gridCol w:w="1714"/>
        <w:gridCol w:w="960"/>
        <w:gridCol w:w="1646"/>
        <w:gridCol w:w="1286"/>
        <w:gridCol w:w="1685"/>
      </w:tblGrid>
      <w:tr w14:paraId="48C87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1" w:type="dxa"/>
          </w:tcPr>
          <w:p w14:paraId="69844519">
            <w:pPr>
              <w:jc w:val="center"/>
              <w:rPr>
                <w:szCs w:val="21"/>
              </w:rPr>
            </w:pPr>
            <w:r>
              <w:rPr>
                <w:rFonts w:hint="eastAsia"/>
                <w:szCs w:val="21"/>
              </w:rPr>
              <w:t>实验名称</w:t>
            </w:r>
          </w:p>
        </w:tc>
        <w:tc>
          <w:tcPr>
            <w:tcW w:w="4320" w:type="dxa"/>
            <w:gridSpan w:val="3"/>
          </w:tcPr>
          <w:p w14:paraId="3301F652">
            <w:pPr>
              <w:jc w:val="center"/>
              <w:rPr>
                <w:rFonts w:hint="default" w:eastAsia="宋体"/>
                <w:szCs w:val="21"/>
                <w:lang w:val="en-US" w:eastAsia="zh-CN"/>
              </w:rPr>
            </w:pPr>
            <w:r>
              <w:rPr>
                <w:rFonts w:hint="eastAsia"/>
                <w:szCs w:val="21"/>
                <w:lang w:val="en-US" w:eastAsia="zh-CN"/>
              </w:rPr>
              <w:t>成本计划</w:t>
            </w:r>
          </w:p>
        </w:tc>
        <w:tc>
          <w:tcPr>
            <w:tcW w:w="1286" w:type="dxa"/>
            <w:vMerge w:val="restart"/>
            <w:vAlign w:val="center"/>
          </w:tcPr>
          <w:p w14:paraId="4390C3D6">
            <w:pPr>
              <w:jc w:val="center"/>
              <w:rPr>
                <w:szCs w:val="21"/>
              </w:rPr>
            </w:pPr>
            <w:r>
              <w:rPr>
                <w:rFonts w:hint="eastAsia"/>
                <w:szCs w:val="21"/>
              </w:rPr>
              <w:t>成绩</w:t>
            </w:r>
          </w:p>
        </w:tc>
        <w:tc>
          <w:tcPr>
            <w:tcW w:w="1685" w:type="dxa"/>
            <w:vMerge w:val="restart"/>
            <w:vAlign w:val="center"/>
          </w:tcPr>
          <w:p w14:paraId="017640A9">
            <w:pPr>
              <w:jc w:val="center"/>
              <w:rPr>
                <w:szCs w:val="21"/>
              </w:rPr>
            </w:pPr>
          </w:p>
        </w:tc>
      </w:tr>
      <w:tr w14:paraId="4744C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1" w:type="dxa"/>
          </w:tcPr>
          <w:p w14:paraId="20EC1606">
            <w:pPr>
              <w:jc w:val="center"/>
              <w:rPr>
                <w:szCs w:val="21"/>
              </w:rPr>
            </w:pPr>
            <w:r>
              <w:rPr>
                <w:rFonts w:hint="eastAsia"/>
                <w:szCs w:val="21"/>
              </w:rPr>
              <w:t>专业班级</w:t>
            </w:r>
          </w:p>
        </w:tc>
        <w:tc>
          <w:tcPr>
            <w:tcW w:w="4320" w:type="dxa"/>
            <w:gridSpan w:val="3"/>
          </w:tcPr>
          <w:p w14:paraId="1E56024B">
            <w:pPr>
              <w:jc w:val="center"/>
              <w:rPr>
                <w:rFonts w:hint="default" w:eastAsia="宋体"/>
                <w:szCs w:val="21"/>
                <w:lang w:val="en-US" w:eastAsia="zh-CN"/>
              </w:rPr>
            </w:pPr>
            <w:r>
              <w:rPr>
                <w:rFonts w:hint="eastAsia"/>
                <w:szCs w:val="21"/>
                <w:lang w:val="en-US" w:eastAsia="zh-CN"/>
              </w:rPr>
              <w:t>23计算机科学与技术1班</w:t>
            </w:r>
          </w:p>
        </w:tc>
        <w:tc>
          <w:tcPr>
            <w:tcW w:w="1286" w:type="dxa"/>
            <w:vMerge w:val="continue"/>
          </w:tcPr>
          <w:p w14:paraId="0823CBF9">
            <w:pPr>
              <w:jc w:val="center"/>
              <w:rPr>
                <w:szCs w:val="21"/>
              </w:rPr>
            </w:pPr>
          </w:p>
        </w:tc>
        <w:tc>
          <w:tcPr>
            <w:tcW w:w="1685" w:type="dxa"/>
            <w:vMerge w:val="continue"/>
          </w:tcPr>
          <w:p w14:paraId="6CEC3436">
            <w:pPr>
              <w:jc w:val="center"/>
              <w:rPr>
                <w:szCs w:val="21"/>
              </w:rPr>
            </w:pPr>
          </w:p>
        </w:tc>
      </w:tr>
      <w:tr w14:paraId="1DEA6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1" w:type="dxa"/>
          </w:tcPr>
          <w:p w14:paraId="75753B76">
            <w:pPr>
              <w:jc w:val="center"/>
              <w:rPr>
                <w:szCs w:val="21"/>
              </w:rPr>
            </w:pPr>
            <w:r>
              <w:rPr>
                <w:rFonts w:hint="eastAsia"/>
                <w:szCs w:val="21"/>
              </w:rPr>
              <w:t>姓名</w:t>
            </w:r>
          </w:p>
        </w:tc>
        <w:tc>
          <w:tcPr>
            <w:tcW w:w="1714" w:type="dxa"/>
          </w:tcPr>
          <w:p w14:paraId="4C5CE66E">
            <w:pPr>
              <w:jc w:val="center"/>
              <w:rPr>
                <w:rFonts w:hint="eastAsia"/>
                <w:szCs w:val="21"/>
                <w:lang w:val="en-US" w:eastAsia="zh-CN"/>
              </w:rPr>
            </w:pPr>
            <w:r>
              <w:rPr>
                <w:rFonts w:hint="eastAsia"/>
                <w:szCs w:val="21"/>
                <w:lang w:val="en-US" w:eastAsia="zh-CN"/>
              </w:rPr>
              <w:t>薛明腾</w:t>
            </w:r>
          </w:p>
          <w:p w14:paraId="1BE67781">
            <w:pPr>
              <w:jc w:val="center"/>
              <w:rPr>
                <w:szCs w:val="21"/>
              </w:rPr>
            </w:pPr>
            <w:r>
              <w:rPr>
                <w:rFonts w:hint="eastAsia"/>
                <w:szCs w:val="21"/>
                <w:lang w:val="en-US" w:eastAsia="zh-CN"/>
              </w:rPr>
              <w:t>赖其昊</w:t>
            </w:r>
          </w:p>
        </w:tc>
        <w:tc>
          <w:tcPr>
            <w:tcW w:w="960" w:type="dxa"/>
          </w:tcPr>
          <w:p w14:paraId="0354596B">
            <w:pPr>
              <w:jc w:val="center"/>
              <w:rPr>
                <w:szCs w:val="21"/>
              </w:rPr>
            </w:pPr>
            <w:r>
              <w:rPr>
                <w:rFonts w:hint="eastAsia"/>
                <w:szCs w:val="21"/>
              </w:rPr>
              <w:t>学号</w:t>
            </w:r>
          </w:p>
        </w:tc>
        <w:tc>
          <w:tcPr>
            <w:tcW w:w="1646" w:type="dxa"/>
          </w:tcPr>
          <w:p w14:paraId="767BEDA1">
            <w:pPr>
              <w:jc w:val="center"/>
              <w:rPr>
                <w:rFonts w:hint="eastAsia"/>
                <w:szCs w:val="21"/>
                <w:lang w:val="en-US" w:eastAsia="zh-CN"/>
              </w:rPr>
            </w:pPr>
            <w:r>
              <w:rPr>
                <w:rFonts w:hint="eastAsia"/>
                <w:szCs w:val="21"/>
                <w:lang w:val="en-US" w:eastAsia="zh-CN"/>
              </w:rPr>
              <w:t>20230310140</w:t>
            </w:r>
          </w:p>
          <w:p w14:paraId="22BD7061">
            <w:pPr>
              <w:jc w:val="center"/>
              <w:rPr>
                <w:szCs w:val="21"/>
              </w:rPr>
            </w:pPr>
            <w:r>
              <w:rPr>
                <w:rFonts w:hint="eastAsia"/>
                <w:szCs w:val="21"/>
                <w:lang w:val="en-US" w:eastAsia="zh-CN"/>
              </w:rPr>
              <w:t>20230310137</w:t>
            </w:r>
          </w:p>
        </w:tc>
        <w:tc>
          <w:tcPr>
            <w:tcW w:w="1286" w:type="dxa"/>
          </w:tcPr>
          <w:p w14:paraId="29D46A7E">
            <w:pPr>
              <w:jc w:val="center"/>
              <w:rPr>
                <w:szCs w:val="21"/>
              </w:rPr>
            </w:pPr>
            <w:r>
              <w:rPr>
                <w:rFonts w:hint="eastAsia" w:ascii="宋体" w:hAnsi="宋体"/>
                <w:szCs w:val="21"/>
              </w:rPr>
              <w:t>学期</w:t>
            </w:r>
          </w:p>
        </w:tc>
        <w:tc>
          <w:tcPr>
            <w:tcW w:w="1685" w:type="dxa"/>
          </w:tcPr>
          <w:p w14:paraId="3A6116D7">
            <w:pPr>
              <w:jc w:val="center"/>
              <w:rPr>
                <w:szCs w:val="21"/>
              </w:rPr>
            </w:pPr>
            <w:r>
              <w:rPr>
                <w:rFonts w:hint="eastAsia"/>
                <w:szCs w:val="21"/>
              </w:rPr>
              <w:t>2025-2026（1）</w:t>
            </w:r>
          </w:p>
        </w:tc>
      </w:tr>
      <w:tr w14:paraId="6A087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1" w:type="dxa"/>
          </w:tcPr>
          <w:p w14:paraId="7D576378">
            <w:pPr>
              <w:jc w:val="center"/>
              <w:rPr>
                <w:szCs w:val="21"/>
              </w:rPr>
            </w:pPr>
            <w:r>
              <w:rPr>
                <w:rFonts w:hint="eastAsia"/>
                <w:szCs w:val="21"/>
              </w:rPr>
              <w:t>指导教师</w:t>
            </w:r>
          </w:p>
        </w:tc>
        <w:tc>
          <w:tcPr>
            <w:tcW w:w="1714" w:type="dxa"/>
          </w:tcPr>
          <w:p w14:paraId="72ABE57C">
            <w:pPr>
              <w:jc w:val="center"/>
              <w:rPr>
                <w:szCs w:val="21"/>
              </w:rPr>
            </w:pPr>
            <w:r>
              <w:rPr>
                <w:szCs w:val="21"/>
              </w:rPr>
              <w:t>胡小生</w:t>
            </w:r>
          </w:p>
        </w:tc>
        <w:tc>
          <w:tcPr>
            <w:tcW w:w="960" w:type="dxa"/>
          </w:tcPr>
          <w:p w14:paraId="3C3BBDA6">
            <w:pPr>
              <w:jc w:val="center"/>
              <w:rPr>
                <w:szCs w:val="21"/>
              </w:rPr>
            </w:pPr>
            <w:r>
              <w:rPr>
                <w:rFonts w:hint="eastAsia"/>
                <w:spacing w:val="-20"/>
                <w:szCs w:val="21"/>
              </w:rPr>
              <w:t>实验性质</w:t>
            </w:r>
          </w:p>
        </w:tc>
        <w:tc>
          <w:tcPr>
            <w:tcW w:w="1646" w:type="dxa"/>
          </w:tcPr>
          <w:p w14:paraId="75C1F98A">
            <w:pPr>
              <w:jc w:val="center"/>
              <w:rPr>
                <w:szCs w:val="21"/>
              </w:rPr>
            </w:pPr>
          </w:p>
        </w:tc>
        <w:tc>
          <w:tcPr>
            <w:tcW w:w="1286" w:type="dxa"/>
          </w:tcPr>
          <w:p w14:paraId="69FFFA87">
            <w:pPr>
              <w:jc w:val="center"/>
              <w:rPr>
                <w:szCs w:val="21"/>
              </w:rPr>
            </w:pPr>
            <w:r>
              <w:rPr>
                <w:rFonts w:hint="eastAsia"/>
                <w:szCs w:val="21"/>
              </w:rPr>
              <w:t>实验日期</w:t>
            </w:r>
          </w:p>
        </w:tc>
        <w:tc>
          <w:tcPr>
            <w:tcW w:w="1685" w:type="dxa"/>
          </w:tcPr>
          <w:p w14:paraId="620B5D08">
            <w:pPr>
              <w:jc w:val="center"/>
              <w:rPr>
                <w:szCs w:val="21"/>
              </w:rPr>
            </w:pPr>
          </w:p>
        </w:tc>
      </w:tr>
      <w:tr w14:paraId="45771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6"/>
            <w:tcBorders>
              <w:bottom w:val="nil"/>
            </w:tcBorders>
          </w:tcPr>
          <w:p w14:paraId="090D23D7">
            <w:pPr>
              <w:jc w:val="left"/>
              <w:rPr>
                <w:szCs w:val="21"/>
              </w:rPr>
            </w:pPr>
            <w:r>
              <w:rPr>
                <w:rFonts w:hint="eastAsia"/>
                <w:szCs w:val="21"/>
              </w:rPr>
              <w:t>一、实验目的</w:t>
            </w:r>
          </w:p>
        </w:tc>
      </w:tr>
      <w:tr w14:paraId="32DC7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6"/>
            <w:tcBorders>
              <w:top w:val="nil"/>
            </w:tcBorders>
          </w:tcPr>
          <w:p w14:paraId="43DECE4C">
            <w:pPr>
              <w:jc w:val="left"/>
              <w:rPr>
                <w:rFonts w:hint="eastAsia"/>
                <w:szCs w:val="21"/>
              </w:rPr>
            </w:pPr>
          </w:p>
          <w:p w14:paraId="4CDE3E7E">
            <w:pPr>
              <w:jc w:val="left"/>
              <w:rPr>
                <w:szCs w:val="21"/>
              </w:rPr>
            </w:pPr>
            <w:r>
              <w:rPr>
                <w:rFonts w:hint="eastAsia"/>
                <w:szCs w:val="21"/>
              </w:rPr>
              <w:t>（1）掌握软件项目规模成本估算方法。</w:t>
            </w:r>
          </w:p>
        </w:tc>
      </w:tr>
      <w:tr w14:paraId="12127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6"/>
            <w:tcBorders>
              <w:bottom w:val="nil"/>
            </w:tcBorders>
          </w:tcPr>
          <w:p w14:paraId="0F12B7FA">
            <w:pPr>
              <w:jc w:val="left"/>
              <w:rPr>
                <w:szCs w:val="21"/>
              </w:rPr>
            </w:pPr>
            <w:r>
              <w:rPr>
                <w:rFonts w:hint="eastAsia"/>
                <w:szCs w:val="21"/>
              </w:rPr>
              <w:t>二、实验内容</w:t>
            </w:r>
          </w:p>
        </w:tc>
      </w:tr>
      <w:tr w14:paraId="3D4E1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6"/>
            <w:tcBorders>
              <w:top w:val="nil"/>
            </w:tcBorders>
          </w:tcPr>
          <w:p w14:paraId="342520A8">
            <w:pPr>
              <w:jc w:val="left"/>
              <w:rPr>
                <w:rFonts w:hint="eastAsia"/>
                <w:szCs w:val="21"/>
                <w:lang w:eastAsia="zh-CN"/>
              </w:rPr>
            </w:pPr>
          </w:p>
          <w:p w14:paraId="129B16FB">
            <w:pPr>
              <w:jc w:val="left"/>
              <w:rPr>
                <w:rFonts w:hint="eastAsia"/>
                <w:szCs w:val="21"/>
              </w:rPr>
            </w:pPr>
            <w:r>
              <w:rPr>
                <w:rFonts w:hint="eastAsia"/>
                <w:szCs w:val="21"/>
                <w:lang w:eastAsia="zh-CN"/>
              </w:rPr>
              <w:t>（</w:t>
            </w:r>
            <w:r>
              <w:rPr>
                <w:rFonts w:hint="eastAsia"/>
                <w:szCs w:val="21"/>
                <w:lang w:val="en-US" w:eastAsia="zh-CN"/>
              </w:rPr>
              <w:t>1）</w:t>
            </w:r>
            <w:r>
              <w:rPr>
                <w:rFonts w:hint="eastAsia"/>
                <w:szCs w:val="21"/>
              </w:rPr>
              <w:t>复习软件成本估算方法；</w:t>
            </w:r>
          </w:p>
          <w:p w14:paraId="55DCC960">
            <w:pPr>
              <w:jc w:val="left"/>
              <w:rPr>
                <w:rFonts w:hint="eastAsia"/>
                <w:szCs w:val="21"/>
              </w:rPr>
            </w:pPr>
            <w:r>
              <w:rPr>
                <w:rFonts w:hint="eastAsia"/>
                <w:szCs w:val="21"/>
                <w:lang w:eastAsia="zh-CN"/>
              </w:rPr>
              <w:t>（</w:t>
            </w:r>
            <w:r>
              <w:rPr>
                <w:rFonts w:hint="eastAsia"/>
                <w:szCs w:val="21"/>
                <w:lang w:val="en-US" w:eastAsia="zh-CN"/>
              </w:rPr>
              <w:t>2）</w:t>
            </w:r>
            <w:r>
              <w:rPr>
                <w:rFonts w:hint="eastAsia"/>
                <w:szCs w:val="21"/>
              </w:rPr>
              <w:t>采用功能点方法估算SPM项目；</w:t>
            </w:r>
          </w:p>
          <w:p w14:paraId="4803DC58">
            <w:pPr>
              <w:jc w:val="left"/>
              <w:rPr>
                <w:rFonts w:hint="eastAsia"/>
                <w:szCs w:val="21"/>
              </w:rPr>
            </w:pPr>
            <w:r>
              <w:rPr>
                <w:rFonts w:hint="eastAsia"/>
                <w:szCs w:val="21"/>
                <w:lang w:eastAsia="zh-CN"/>
              </w:rPr>
              <w:t>（</w:t>
            </w:r>
            <w:r>
              <w:rPr>
                <w:rFonts w:hint="eastAsia"/>
                <w:szCs w:val="21"/>
                <w:lang w:val="en-US" w:eastAsia="zh-CN"/>
              </w:rPr>
              <w:t>3）</w:t>
            </w:r>
            <w:r>
              <w:rPr>
                <w:rFonts w:hint="eastAsia"/>
                <w:szCs w:val="21"/>
              </w:rPr>
              <w:t>采用自下而上方法估算SPM项目；</w:t>
            </w:r>
          </w:p>
          <w:p w14:paraId="6EB4E20F">
            <w:pPr>
              <w:jc w:val="left"/>
              <w:rPr>
                <w:szCs w:val="21"/>
              </w:rPr>
            </w:pPr>
            <w:r>
              <w:rPr>
                <w:rFonts w:hint="eastAsia"/>
                <w:szCs w:val="21"/>
                <w:lang w:eastAsia="zh-CN"/>
              </w:rPr>
              <w:t>（</w:t>
            </w:r>
            <w:r>
              <w:rPr>
                <w:rFonts w:hint="eastAsia"/>
                <w:szCs w:val="21"/>
                <w:lang w:val="en-US" w:eastAsia="zh-CN"/>
              </w:rPr>
              <w:t>4）</w:t>
            </w:r>
            <w:r>
              <w:rPr>
                <w:rFonts w:hint="eastAsia"/>
                <w:szCs w:val="21"/>
              </w:rPr>
              <w:t>选择1个团队课堂上讲述SPM项目的两个估算方法。</w:t>
            </w:r>
          </w:p>
          <w:p w14:paraId="48E1A266">
            <w:pPr>
              <w:jc w:val="left"/>
              <w:rPr>
                <w:szCs w:val="21"/>
              </w:rPr>
            </w:pPr>
          </w:p>
        </w:tc>
      </w:tr>
      <w:tr w14:paraId="61A36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6"/>
            <w:tcBorders>
              <w:bottom w:val="nil"/>
            </w:tcBorders>
          </w:tcPr>
          <w:p w14:paraId="4B45393E">
            <w:pPr>
              <w:jc w:val="left"/>
              <w:rPr>
                <w:szCs w:val="21"/>
              </w:rPr>
            </w:pPr>
            <w:r>
              <w:rPr>
                <w:rFonts w:hint="eastAsia"/>
                <w:szCs w:val="21"/>
              </w:rPr>
              <w:t>三、实验结果</w:t>
            </w:r>
          </w:p>
        </w:tc>
      </w:tr>
      <w:tr w14:paraId="04E14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6"/>
            <w:tcBorders>
              <w:top w:val="nil"/>
            </w:tcBorders>
          </w:tcPr>
          <w:p w14:paraId="55E3DF85">
            <w:pPr>
              <w:bidi w:val="0"/>
            </w:pPr>
            <w:r>
              <w:rPr>
                <w:rFonts w:hint="default"/>
              </w:rPr>
              <w:t>一、 项目概述与估算方法选择</w:t>
            </w:r>
          </w:p>
          <w:p w14:paraId="38EE0171">
            <w:pPr>
              <w:bidi w:val="0"/>
            </w:pPr>
            <w:r>
              <w:rPr>
                <w:rFonts w:hint="default"/>
              </w:rPr>
              <w:t>1.1 项目概述</w:t>
            </w:r>
            <w:r>
              <w:rPr>
                <w:rFonts w:hint="default"/>
              </w:rPr>
              <w:br w:type="textWrapping"/>
            </w:r>
            <w:r>
              <w:rPr>
                <w:rFonts w:hint="default"/>
              </w:rPr>
              <w:t>本项目是为广东药科大学定制开发一套“内控管理信息系统”。系统需整合预算、收支、采购、资产、合同、项目六大经济领域的数据，通过内置规则模型进行风险预警与评价，并实现与现有OA、财务、采购等系统的深度集成。项目预算为1,500,000.00元，合同履行期限为480日历日。</w:t>
            </w:r>
          </w:p>
          <w:p w14:paraId="2B6D1262">
            <w:pPr>
              <w:bidi w:val="0"/>
              <w:rPr>
                <w:rFonts w:hint="default"/>
              </w:rPr>
            </w:pPr>
            <w:r>
              <w:rPr>
                <w:rFonts w:hint="default"/>
              </w:rPr>
              <w:t>1.2 估算方法选择</w:t>
            </w:r>
            <w:r>
              <w:rPr>
                <w:rFonts w:hint="default"/>
              </w:rPr>
              <w:br w:type="textWrapping"/>
            </w:r>
            <w:r>
              <w:rPr>
                <w:rFonts w:hint="default"/>
              </w:rPr>
              <w:t>鉴于项目特点（定制化开发、需求明确、复杂度高），单一估算方法可能存在较大偏差。因此，本实验采用主辅结合，选择以下</w:t>
            </w:r>
            <w:r>
              <w:rPr>
                <w:rFonts w:hint="eastAsia"/>
                <w:lang w:val="en-US" w:eastAsia="zh-CN"/>
              </w:rPr>
              <w:t>两</w:t>
            </w:r>
            <w:r>
              <w:rPr>
                <w:rFonts w:hint="default"/>
              </w:rPr>
              <w:t>种方法进行综合估算：</w:t>
            </w:r>
          </w:p>
          <w:p w14:paraId="17A0F7EE">
            <w:pPr>
              <w:bidi w:val="0"/>
            </w:pPr>
            <w:r>
              <w:rPr>
                <w:rFonts w:hint="eastAsia"/>
                <w:lang w:val="en-US" w:eastAsia="zh-CN"/>
              </w:rPr>
              <w:t>·</w:t>
            </w:r>
            <w:r>
              <w:rPr>
                <w:rFonts w:hint="default"/>
              </w:rPr>
              <w:t>功能点估算法（主）： 本项目需求规格书（采购需求）中功能模块描述清晰，非常适合通过识别内部逻辑文件、外部接口、输入、输出、查询来量化软件规模。此方法是本次估算的核心与基准。</w:t>
            </w:r>
          </w:p>
          <w:p w14:paraId="08E39C52">
            <w:pPr>
              <w:bidi w:val="0"/>
            </w:pPr>
            <w:r>
              <w:rPr>
                <w:rFonts w:hint="eastAsia"/>
                <w:lang w:val="en-US" w:eastAsia="zh-CN"/>
              </w:rPr>
              <w:t>·</w:t>
            </w:r>
            <w:r>
              <w:rPr>
                <w:rFonts w:hint="default"/>
              </w:rPr>
              <w:t>自下而上估算法（辅）： 将项目分解为具体的工作任务（WBS），基于任务清单估算工作量。此方法能验证功能点法的结果，并细化成本构成。</w:t>
            </w:r>
          </w:p>
          <w:p w14:paraId="152E60F9">
            <w:pPr>
              <w:bidi w:val="0"/>
              <w:rPr>
                <w:rFonts w:hint="default"/>
              </w:rPr>
            </w:pPr>
            <w:r>
              <w:rPr>
                <w:rFonts w:hint="default"/>
              </w:rPr>
              <w:t>选择理由：</w:t>
            </w:r>
          </w:p>
          <w:p w14:paraId="2A3D1955">
            <w:pPr>
              <w:bidi w:val="0"/>
            </w:pPr>
            <w:r>
              <w:rPr>
                <w:rFonts w:hint="default"/>
              </w:rPr>
              <w:t>排除方法：</w:t>
            </w:r>
          </w:p>
          <w:p w14:paraId="709020D8">
            <w:pPr>
              <w:bidi w:val="0"/>
            </w:pPr>
            <w:r>
              <w:rPr>
                <w:rFonts w:hint="eastAsia"/>
                <w:lang w:val="en-US" w:eastAsia="zh-CN"/>
              </w:rPr>
              <w:t>·</w:t>
            </w:r>
            <w:r>
              <w:rPr>
                <w:rFonts w:hint="default"/>
              </w:rPr>
              <w:t>代码行估算法： 在需求阶段无法预测准确代码行数，且严重依赖编程语言和程序员水平，不适用。</w:t>
            </w:r>
          </w:p>
          <w:p w14:paraId="3ABDDC91">
            <w:pPr>
              <w:bidi w:val="0"/>
            </w:pPr>
            <w:r>
              <w:rPr>
                <w:rFonts w:hint="eastAsia"/>
                <w:lang w:val="en-US" w:eastAsia="zh-CN"/>
              </w:rPr>
              <w:t>·</w:t>
            </w:r>
            <w:r>
              <w:rPr>
                <w:rFonts w:hint="default"/>
              </w:rPr>
              <w:t>用例点估算法： 采购文件未提供用例图等UML模型，缺乏估算基础。</w:t>
            </w:r>
          </w:p>
          <w:p w14:paraId="201B7059">
            <w:pPr>
              <w:bidi w:val="0"/>
            </w:pPr>
            <w:r>
              <w:rPr>
                <w:rFonts w:hint="eastAsia"/>
                <w:lang w:val="en-US" w:eastAsia="zh-CN"/>
              </w:rPr>
              <w:t>·</w:t>
            </w:r>
            <w:r>
              <w:rPr>
                <w:rFonts w:hint="default"/>
              </w:rPr>
              <w:t>类比估算法： 缺乏完全同类的、已知准确成本的历史项目数据。</w:t>
            </w:r>
          </w:p>
          <w:p w14:paraId="2DDE2CBB">
            <w:pPr>
              <w:bidi w:val="0"/>
              <w:rPr>
                <w:rFonts w:hint="default"/>
              </w:rPr>
            </w:pPr>
            <w:r>
              <w:rPr>
                <w:rFonts w:hint="eastAsia"/>
                <w:lang w:val="en-US" w:eastAsia="zh-CN"/>
              </w:rPr>
              <w:t>·</w:t>
            </w:r>
            <w:r>
              <w:rPr>
                <w:rFonts w:hint="default"/>
              </w:rPr>
              <w:t>三点估算法/专家估算法/猜测法： 更适合在缺乏详细需求时进行初步估算，或用于对单个任务的不确定性进行评估。本项目有详细需求，应优先采用更结构化的方法。</w:t>
            </w:r>
          </w:p>
          <w:p w14:paraId="2F0CC057">
            <w:pPr>
              <w:bidi w:val="0"/>
              <w:rPr>
                <w:rFonts w:hint="default"/>
              </w:rPr>
            </w:pPr>
          </w:p>
          <w:p w14:paraId="236E3A7F">
            <w:pPr>
              <w:bidi w:val="0"/>
              <w:rPr>
                <w:rFonts w:hint="default"/>
              </w:rPr>
            </w:pPr>
            <w:r>
              <w:rPr>
                <w:rFonts w:hint="default"/>
              </w:rPr>
              <w:t>二、 实验过程与结果</w:t>
            </w:r>
          </w:p>
          <w:p w14:paraId="38AB8BBC">
            <w:pPr>
              <w:bidi w:val="0"/>
              <w:rPr>
                <w:rFonts w:hint="default"/>
              </w:rPr>
            </w:pPr>
            <w:r>
              <w:rPr>
                <w:rFonts w:hint="default"/>
              </w:rPr>
              <w:t>2.1 方法一：功能点估算法</w:t>
            </w:r>
          </w:p>
          <w:p w14:paraId="41D584CD">
            <w:pPr>
              <w:bidi w:val="0"/>
              <w:rPr>
                <w:rFonts w:hint="default"/>
              </w:rPr>
            </w:pPr>
            <w:r>
              <w:rPr>
                <w:rFonts w:hint="default"/>
              </w:rPr>
              <w:t>a) 识别与计数未调整功能点（UF</w:t>
            </w:r>
            <w:r>
              <w:rPr>
                <w:rFonts w:hint="eastAsia"/>
                <w:lang w:val="en-US" w:eastAsia="zh-CN"/>
              </w:rPr>
              <w:t>C</w:t>
            </w:r>
            <w:r>
              <w:rPr>
                <w:rFonts w:hint="default"/>
              </w:rPr>
              <w:t>）</w:t>
            </w:r>
            <w:r>
              <w:rPr>
                <w:rFonts w:hint="default"/>
              </w:rPr>
              <w:br w:type="textWrapping"/>
            </w:r>
            <w:r>
              <w:rPr>
                <w:rFonts w:hint="default"/>
              </w:rPr>
              <w:t>根据采购文件第四章“功能需求”，进行功能点计数：</w:t>
            </w:r>
          </w:p>
          <w:p w14:paraId="31306A94">
            <w:pPr>
              <w:bidi w:val="0"/>
            </w:pPr>
            <w:r>
              <w:rPr>
                <w:rFonts w:hint="eastAsia"/>
                <w:lang w:val="en-US" w:eastAsia="zh-CN"/>
              </w:rPr>
              <w:t>·</w:t>
            </w:r>
            <w:r>
              <w:rPr>
                <w:rFonts w:hint="default"/>
              </w:rPr>
              <w:t>内部逻辑文件（ILF）</w:t>
            </w:r>
          </w:p>
          <w:p w14:paraId="1A110C28">
            <w:pPr>
              <w:bidi w:val="0"/>
            </w:pPr>
            <w:r>
              <w:t>示例：项目库</w:t>
            </w:r>
          </w:p>
          <w:p w14:paraId="05C23FF0">
            <w:pPr>
              <w:bidi w:val="0"/>
            </w:pPr>
            <w:r>
              <w:rPr>
                <w:rFonts w:hint="default"/>
              </w:rPr>
              <w:t>记录元素类型（RET）： 包含主项目信息、项目阶段信息等。RET &gt; 5。</w:t>
            </w:r>
          </w:p>
          <w:p w14:paraId="738630AC">
            <w:pPr>
              <w:bidi w:val="0"/>
            </w:pPr>
            <w:r>
              <w:rPr>
                <w:rFonts w:hint="default"/>
              </w:rPr>
              <w:t>数据元素（DET）： 项目编号、名称、预算、负责人、开始/结束日期、状态、描述等。DET &gt; 50。</w:t>
            </w:r>
          </w:p>
          <w:p w14:paraId="08EF0977">
            <w:pPr>
              <w:bidi w:val="0"/>
            </w:pPr>
            <w:r>
              <w:rPr>
                <w:rFonts w:hint="default"/>
              </w:rPr>
              <w:t>定级（表6-4）： RET&gt;5, DET&gt;50 → 复杂度 = 高。</w:t>
            </w:r>
          </w:p>
          <w:p w14:paraId="2F2268CB">
            <w:pPr>
              <w:bidi w:val="0"/>
            </w:pPr>
            <w:r>
              <w:rPr>
                <w:rFonts w:hint="default"/>
              </w:rPr>
              <w:t>权重（标准）： 15 （高复杂度ILF的权重）。</w:t>
            </w:r>
          </w:p>
          <w:p w14:paraId="339A9142">
            <w:pPr>
              <w:bidi w:val="0"/>
            </w:pPr>
            <w:r>
              <w:rPr>
                <w:rFonts w:hint="default"/>
              </w:rPr>
              <w:t>假设： 本项目8个ILF（如风险库、合同库、资产库等）均因业务复杂，大部分为高复杂度。</w:t>
            </w:r>
          </w:p>
          <w:p w14:paraId="0F278343">
            <w:pPr>
              <w:bidi w:val="0"/>
            </w:pPr>
            <w:r>
              <w:rPr>
                <w:rFonts w:hint="default"/>
              </w:rPr>
              <w:t>ILF贡献： 8个ILF × 15 FP/个 = 120 FP。</w:t>
            </w:r>
          </w:p>
          <w:p w14:paraId="6B362462">
            <w:pPr>
              <w:bidi w:val="0"/>
              <w:rPr>
                <w:rFonts w:hint="default"/>
              </w:rPr>
            </w:pPr>
            <w:r>
              <w:rPr>
                <w:rFonts w:hint="eastAsia"/>
                <w:lang w:val="en-US" w:eastAsia="zh-CN"/>
              </w:rPr>
              <w:t>·</w:t>
            </w:r>
            <w:r>
              <w:rPr>
                <w:rFonts w:hint="default"/>
              </w:rPr>
              <w:t>外部接口文件（EIF）</w:t>
            </w:r>
          </w:p>
          <w:p w14:paraId="5B146E6E">
            <w:pPr>
              <w:bidi w:val="0"/>
            </w:pPr>
            <w:r>
              <w:rPr>
                <w:rFonts w:hint="default"/>
              </w:rPr>
              <w:t>示例：财务系统接口</w:t>
            </w:r>
          </w:p>
          <w:p w14:paraId="50B109F1">
            <w:pPr>
              <w:bidi w:val="0"/>
            </w:pPr>
            <w:r>
              <w:rPr>
                <w:rFonts w:hint="default"/>
              </w:rPr>
              <w:t>记录元素类型（RET）： 可能包含科目、凭证等多种信息。RET &gt; 5。</w:t>
            </w:r>
          </w:p>
          <w:p w14:paraId="186CFA2E">
            <w:pPr>
              <w:bidi w:val="0"/>
            </w:pPr>
            <w:r>
              <w:rPr>
                <w:rFonts w:hint="default"/>
              </w:rPr>
              <w:t>数据元素（DET）： 大量财务数据字段。DET &gt; 50。</w:t>
            </w:r>
          </w:p>
          <w:p w14:paraId="0EF5FC0F">
            <w:pPr>
              <w:bidi w:val="0"/>
            </w:pPr>
            <w:r>
              <w:rPr>
                <w:rFonts w:hint="default"/>
              </w:rPr>
              <w:t>定级（表6-4）： RET&gt;5, DET&gt;50 → 复杂度 = 高。</w:t>
            </w:r>
          </w:p>
          <w:p w14:paraId="367584A0">
            <w:pPr>
              <w:bidi w:val="0"/>
            </w:pPr>
            <w:r>
              <w:rPr>
                <w:rFonts w:hint="default"/>
              </w:rPr>
              <w:t>权重（标准）： 10 （高复杂度EIF的权重）。</w:t>
            </w:r>
          </w:p>
          <w:p w14:paraId="56601AAF">
            <w:pPr>
              <w:bidi w:val="0"/>
            </w:pPr>
            <w:r>
              <w:rPr>
                <w:rFonts w:hint="default"/>
              </w:rPr>
              <w:t>假设： 7个EIF（对接不同系统）均较为复杂，主要为高复杂度。</w:t>
            </w:r>
          </w:p>
          <w:p w14:paraId="05BEDF81">
            <w:pPr>
              <w:bidi w:val="0"/>
            </w:pPr>
            <w:r>
              <w:rPr>
                <w:rFonts w:hint="eastAsia"/>
                <w:lang w:val="en-US" w:eastAsia="zh-CN"/>
              </w:rPr>
              <w:t>·</w:t>
            </w:r>
            <w:r>
              <w:rPr>
                <w:rFonts w:hint="default"/>
              </w:rPr>
              <w:t>EIF贡献： 7个EIF × 10 FP/个 = 70 FP。</w:t>
            </w:r>
          </w:p>
          <w:p w14:paraId="511E2DFA">
            <w:pPr>
              <w:bidi w:val="0"/>
              <w:rPr>
                <w:rFonts w:hint="default"/>
              </w:rPr>
            </w:pPr>
            <w:r>
              <w:rPr>
                <w:rFonts w:hint="default"/>
              </w:rPr>
              <w:t>外部输入（EI）</w:t>
            </w:r>
          </w:p>
          <w:p w14:paraId="692739D1">
            <w:pPr>
              <w:bidi w:val="0"/>
            </w:pPr>
            <w:r>
              <w:rPr>
                <w:rFonts w:hint="default"/>
              </w:rPr>
              <w:t>示例1：手动预警（简单）</w:t>
            </w:r>
          </w:p>
          <w:p w14:paraId="541B0993">
            <w:pPr>
              <w:bidi w:val="0"/>
            </w:pPr>
            <w:r>
              <w:rPr>
                <w:rFonts w:hint="default"/>
              </w:rPr>
              <w:t>引用的文件类型（FTR）： 主要更新“风险库”。FTR = 1。</w:t>
            </w:r>
          </w:p>
          <w:p w14:paraId="17C3B481">
            <w:pPr>
              <w:bidi w:val="0"/>
            </w:pPr>
            <w:r>
              <w:rPr>
                <w:rFonts w:hint="default"/>
              </w:rPr>
              <w:t>数据元素（DET）： 标题、类型、责任人等。DET ≈ 5-8。</w:t>
            </w:r>
          </w:p>
          <w:p w14:paraId="3350DE2F">
            <w:pPr>
              <w:bidi w:val="0"/>
            </w:pPr>
            <w:r>
              <w:rPr>
                <w:rFonts w:hint="default"/>
              </w:rPr>
              <w:t>定级（表6-1）： FTR=1, DET在5~15 → 复杂度 = 低。</w:t>
            </w:r>
          </w:p>
          <w:p w14:paraId="3EAE96DB">
            <w:pPr>
              <w:bidi w:val="0"/>
            </w:pPr>
            <w:r>
              <w:rPr>
                <w:rFonts w:hint="default"/>
              </w:rPr>
              <w:t>权重（表6-3）： 3。</w:t>
            </w:r>
          </w:p>
          <w:p w14:paraId="2D775B69">
            <w:pPr>
              <w:bidi w:val="0"/>
            </w:pPr>
            <w:r>
              <w:rPr>
                <w:rFonts w:hint="default"/>
              </w:rPr>
              <w:t>示例2：合同登记（复杂）</w:t>
            </w:r>
          </w:p>
          <w:p w14:paraId="7E98BF8A">
            <w:pPr>
              <w:bidi w:val="0"/>
            </w:pPr>
            <w:r>
              <w:rPr>
                <w:rFonts w:hint="default"/>
              </w:rPr>
              <w:t>引用的文件类型（FTR）： 更新“合同库”，并可能关联“项目库”。FTR ≥ 2。</w:t>
            </w:r>
          </w:p>
          <w:p w14:paraId="69DFF76C">
            <w:pPr>
              <w:bidi w:val="0"/>
            </w:pPr>
            <w:r>
              <w:rPr>
                <w:rFonts w:hint="default"/>
              </w:rPr>
              <w:t>数据元素（DET）： 包含大量合同条款和属性。DET &gt; 15。</w:t>
            </w:r>
          </w:p>
          <w:p w14:paraId="1064D7C9">
            <w:pPr>
              <w:bidi w:val="0"/>
            </w:pPr>
            <w:r>
              <w:rPr>
                <w:rFonts w:hint="default"/>
              </w:rPr>
              <w:t>定级（表6-1）： FTR≥2, DET&gt;15 → 复杂度 = 高。</w:t>
            </w:r>
          </w:p>
          <w:p w14:paraId="225879BB">
            <w:pPr>
              <w:bidi w:val="0"/>
            </w:pPr>
            <w:r>
              <w:rPr>
                <w:rFonts w:hint="default"/>
              </w:rPr>
              <w:t>权重（表6-3）： 6。</w:t>
            </w:r>
          </w:p>
          <w:p w14:paraId="1D3E226B">
            <w:pPr>
              <w:bidi w:val="0"/>
            </w:pPr>
            <w:r>
              <w:rPr>
                <w:rFonts w:hint="default"/>
              </w:rPr>
              <w:t>假设： 15个EI中，30%为低复杂度，40%为中等复杂度，30%为高复杂度。</w:t>
            </w:r>
          </w:p>
          <w:p w14:paraId="1D52F45B">
            <w:pPr>
              <w:bidi w:val="0"/>
            </w:pPr>
            <w:r>
              <w:rPr>
                <w:rFonts w:hint="default"/>
              </w:rPr>
              <w:t>EI贡献： (15×30%×3) + (15×40%×4) + (15×30%×6) = 13.5 + 24 + 27 = 64.5 FP (可取整为 65 FP)。</w:t>
            </w:r>
          </w:p>
          <w:p w14:paraId="3DD3C360">
            <w:pPr>
              <w:bidi w:val="0"/>
              <w:rPr>
                <w:rFonts w:hint="default"/>
              </w:rPr>
            </w:pPr>
            <w:r>
              <w:rPr>
                <w:rFonts w:hint="eastAsia"/>
                <w:lang w:val="en-US" w:eastAsia="zh-CN"/>
              </w:rPr>
              <w:t>·</w:t>
            </w:r>
            <w:r>
              <w:rPr>
                <w:rFonts w:hint="default"/>
              </w:rPr>
              <w:t xml:space="preserve">外部输出（EO） </w:t>
            </w:r>
          </w:p>
          <w:p w14:paraId="018B7BB8">
            <w:pPr>
              <w:bidi w:val="0"/>
            </w:pPr>
            <w:r>
              <w:rPr>
                <w:rFonts w:hint="default"/>
              </w:rPr>
              <w:t>示例：风险评估报告（复杂）</w:t>
            </w:r>
          </w:p>
          <w:p w14:paraId="2323D14F">
            <w:pPr>
              <w:bidi w:val="0"/>
            </w:pPr>
            <w:r>
              <w:rPr>
                <w:rFonts w:hint="default"/>
              </w:rPr>
              <w:t>引用的文件类型（FTR）： 从风险、项目、合同等多个ILF/EIF中取数。FTR &gt; 3。</w:t>
            </w:r>
          </w:p>
          <w:p w14:paraId="49C82CBB">
            <w:pPr>
              <w:bidi w:val="0"/>
            </w:pPr>
            <w:r>
              <w:rPr>
                <w:rFonts w:hint="default"/>
              </w:rPr>
              <w:t>数据元素（DET）： 报告包含大量统计数据和图表。DET &gt; 19。</w:t>
            </w:r>
          </w:p>
          <w:p w14:paraId="03849B66">
            <w:pPr>
              <w:bidi w:val="0"/>
            </w:pPr>
            <w:r>
              <w:rPr>
                <w:rFonts w:hint="default"/>
              </w:rPr>
              <w:t>定级（表6-2）： FTR&gt;3, DET&gt;19 → 复杂度 = 高。</w:t>
            </w:r>
          </w:p>
          <w:p w14:paraId="6440AC5F">
            <w:pPr>
              <w:bidi w:val="0"/>
            </w:pPr>
            <w:r>
              <w:rPr>
                <w:rFonts w:hint="default"/>
              </w:rPr>
              <w:t>权重（表6-3）： 7。</w:t>
            </w:r>
          </w:p>
          <w:p w14:paraId="7CADC91F">
            <w:pPr>
              <w:bidi w:val="0"/>
            </w:pPr>
            <w:r>
              <w:rPr>
                <w:rFonts w:hint="default"/>
              </w:rPr>
              <w:t>假设： 12个EO中（如各种看板、报告、大屏），绝大部分因涉及数据聚合与复杂处理，为高复杂度。</w:t>
            </w:r>
          </w:p>
          <w:p w14:paraId="6FB23830">
            <w:pPr>
              <w:bidi w:val="0"/>
            </w:pPr>
            <w:r>
              <w:rPr>
                <w:rFonts w:hint="default"/>
              </w:rPr>
              <w:t>EO贡献： 12个EO × 7 FP/个 = 84 FP。</w:t>
            </w:r>
          </w:p>
          <w:p w14:paraId="4F33374C">
            <w:pPr>
              <w:bidi w:val="0"/>
              <w:rPr>
                <w:rFonts w:hint="default"/>
              </w:rPr>
            </w:pPr>
            <w:r>
              <w:rPr>
                <w:rFonts w:hint="eastAsia"/>
                <w:lang w:val="en-US" w:eastAsia="zh-CN"/>
              </w:rPr>
              <w:t>·</w:t>
            </w:r>
            <w:r>
              <w:rPr>
                <w:rFonts w:hint="default"/>
              </w:rPr>
              <w:t>外部查询（EQ） - 重新估算</w:t>
            </w:r>
          </w:p>
          <w:p w14:paraId="22C2DE91">
            <w:pPr>
              <w:bidi w:val="0"/>
            </w:pPr>
            <w:r>
              <w:rPr>
                <w:rFonts w:hint="default"/>
              </w:rPr>
              <w:t>示例：项目全链条查询</w:t>
            </w:r>
          </w:p>
          <w:p w14:paraId="41CDBBA9">
            <w:pPr>
              <w:bidi w:val="0"/>
            </w:pPr>
            <w:r>
              <w:rPr>
                <w:rFonts w:hint="default"/>
              </w:rPr>
              <w:t>引用的文件类型（FTR）： 需要关联项目、合同、采购等多个数据实体。FTR &gt; 3。</w:t>
            </w:r>
          </w:p>
          <w:p w14:paraId="692F9570">
            <w:pPr>
              <w:bidi w:val="0"/>
            </w:pPr>
            <w:r>
              <w:rPr>
                <w:rFonts w:hint="default"/>
              </w:rPr>
              <w:t>数据元素（DET）： 显示的信息很丰富。DET &gt; 19。</w:t>
            </w:r>
          </w:p>
          <w:p w14:paraId="378F1E8B">
            <w:pPr>
              <w:bidi w:val="0"/>
            </w:pPr>
            <w:r>
              <w:rPr>
                <w:rFonts w:hint="default"/>
              </w:rPr>
              <w:t>定级（表6-2）： FTR&gt;3, DET&gt;19 → 复杂度 = 高。</w:t>
            </w:r>
          </w:p>
          <w:p w14:paraId="1B94C9FE">
            <w:pPr>
              <w:bidi w:val="0"/>
            </w:pPr>
            <w:r>
              <w:rPr>
                <w:rFonts w:hint="default"/>
              </w:rPr>
              <w:t>权重（表6-3）： 6。</w:t>
            </w:r>
          </w:p>
          <w:p w14:paraId="0DA54AE0">
            <w:pPr>
              <w:bidi w:val="0"/>
            </w:pPr>
            <w:r>
              <w:rPr>
                <w:rFonts w:hint="default"/>
              </w:rPr>
              <w:t>假设： 10个EQ中，部分简单查询为中复杂度，复杂关联查询为高复杂度。我们取平均权重 5。</w:t>
            </w:r>
          </w:p>
          <w:p w14:paraId="149AC914">
            <w:pPr>
              <w:bidi w:val="0"/>
            </w:pPr>
            <w:r>
              <w:rPr>
                <w:rFonts w:hint="default"/>
              </w:rPr>
              <w:t>EQ贡献： 10个EQ × 5 FP/个 = 50 FP。</w:t>
            </w:r>
          </w:p>
          <w:tbl>
            <w:tblPr>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blLayout w:type="autofit"/>
              <w:tblCellMar>
                <w:top w:w="15" w:type="dxa"/>
                <w:left w:w="15" w:type="dxa"/>
                <w:bottom w:w="15" w:type="dxa"/>
                <w:right w:w="15" w:type="dxa"/>
              </w:tblCellMar>
            </w:tblPr>
            <w:tblGrid>
              <w:gridCol w:w="2021"/>
              <w:gridCol w:w="1299"/>
              <w:gridCol w:w="1625"/>
              <w:gridCol w:w="1036"/>
              <w:gridCol w:w="1159"/>
              <w:gridCol w:w="1146"/>
            </w:tblGrid>
            <w:tr w14:paraId="56079F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blCellMar>
                  <w:top w:w="15" w:type="dxa"/>
                  <w:left w:w="15" w:type="dxa"/>
                  <w:bottom w:w="15" w:type="dxa"/>
                  <w:right w:w="15" w:type="dxa"/>
                </w:tblCellMar>
              </w:tblPrEx>
              <w:trPr>
                <w:tblHeader/>
              </w:trPr>
              <w:tc>
                <w:tcPr>
                  <w:tcW w:w="0" w:type="auto"/>
                  <w:shd w:val="clear" w:color="auto" w:fill="FFFFFF"/>
                  <w:tcMar>
                    <w:top w:w="100" w:type="dxa"/>
                    <w:left w:w="0" w:type="dxa"/>
                    <w:bottom w:w="100" w:type="dxa"/>
                    <w:right w:w="160" w:type="dxa"/>
                  </w:tcMar>
                  <w:vAlign w:val="center"/>
                </w:tcPr>
                <w:p w14:paraId="11B9E74E">
                  <w:pPr>
                    <w:bidi w:val="0"/>
                  </w:pPr>
                  <w:r>
                    <w:rPr>
                      <w:rFonts w:hint="default"/>
                      <w:lang w:val="en-US" w:eastAsia="zh-CN"/>
                    </w:rPr>
                    <w:t>功能类型</w:t>
                  </w:r>
                </w:p>
              </w:tc>
              <w:tc>
                <w:tcPr>
                  <w:tcW w:w="0" w:type="auto"/>
                  <w:shd w:val="clear" w:color="auto" w:fill="FFFFFF"/>
                  <w:tcMar>
                    <w:top w:w="100" w:type="dxa"/>
                    <w:left w:w="160" w:type="dxa"/>
                    <w:bottom w:w="100" w:type="dxa"/>
                    <w:right w:w="160" w:type="dxa"/>
                  </w:tcMar>
                  <w:vAlign w:val="center"/>
                </w:tcPr>
                <w:p w14:paraId="7C65735D">
                  <w:pPr>
                    <w:bidi w:val="0"/>
                    <w:rPr>
                      <w:rFonts w:hint="default"/>
                    </w:rPr>
                  </w:pPr>
                  <w:r>
                    <w:rPr>
                      <w:rFonts w:hint="default"/>
                      <w:lang w:val="en-US" w:eastAsia="zh-CN"/>
                    </w:rPr>
                    <w:t>功能组件个数</w:t>
                  </w:r>
                </w:p>
              </w:tc>
              <w:tc>
                <w:tcPr>
                  <w:tcW w:w="0" w:type="auto"/>
                  <w:shd w:val="clear" w:color="auto" w:fill="FFFFFF"/>
                  <w:tcMar>
                    <w:top w:w="100" w:type="dxa"/>
                    <w:left w:w="160" w:type="dxa"/>
                    <w:bottom w:w="100" w:type="dxa"/>
                    <w:right w:w="160" w:type="dxa"/>
                  </w:tcMar>
                  <w:vAlign w:val="center"/>
                </w:tcPr>
                <w:p w14:paraId="70630A7B">
                  <w:pPr>
                    <w:bidi w:val="0"/>
                    <w:rPr>
                      <w:rFonts w:hint="default"/>
                    </w:rPr>
                  </w:pPr>
                  <w:r>
                    <w:rPr>
                      <w:rFonts w:hint="default"/>
                      <w:lang w:val="en-US" w:eastAsia="zh-CN"/>
                    </w:rPr>
                    <w:t>采用的典型复杂度</w:t>
                  </w:r>
                </w:p>
              </w:tc>
              <w:tc>
                <w:tcPr>
                  <w:tcW w:w="0" w:type="auto"/>
                  <w:shd w:val="clear" w:color="auto" w:fill="FFFFFF"/>
                  <w:tcMar>
                    <w:top w:w="100" w:type="dxa"/>
                    <w:left w:w="160" w:type="dxa"/>
                    <w:bottom w:w="100" w:type="dxa"/>
                    <w:right w:w="160" w:type="dxa"/>
                  </w:tcMar>
                  <w:vAlign w:val="center"/>
                </w:tcPr>
                <w:p w14:paraId="2B5B2837">
                  <w:pPr>
                    <w:bidi w:val="0"/>
                    <w:rPr>
                      <w:rFonts w:hint="default"/>
                    </w:rPr>
                  </w:pPr>
                  <w:r>
                    <w:rPr>
                      <w:rFonts w:hint="default"/>
                      <w:lang w:val="en-US" w:eastAsia="zh-CN"/>
                    </w:rPr>
                    <w:t>单个权重</w:t>
                  </w:r>
                </w:p>
              </w:tc>
              <w:tc>
                <w:tcPr>
                  <w:tcW w:w="0" w:type="auto"/>
                  <w:shd w:val="clear" w:color="auto" w:fill="FFFFFF"/>
                  <w:tcMar>
                    <w:top w:w="100" w:type="dxa"/>
                    <w:left w:w="160" w:type="dxa"/>
                    <w:bottom w:w="100" w:type="dxa"/>
                    <w:right w:w="160" w:type="dxa"/>
                  </w:tcMar>
                  <w:vAlign w:val="center"/>
                </w:tcPr>
                <w:p w14:paraId="2EC42C11">
                  <w:pPr>
                    <w:bidi w:val="0"/>
                    <w:rPr>
                      <w:rFonts w:hint="default"/>
                    </w:rPr>
                  </w:pPr>
                  <w:r>
                    <w:rPr>
                      <w:rFonts w:hint="default"/>
                      <w:lang w:val="en-US" w:eastAsia="zh-CN"/>
                    </w:rPr>
                    <w:t>功能点计算</w:t>
                  </w:r>
                </w:p>
              </w:tc>
              <w:tc>
                <w:tcPr>
                  <w:tcW w:w="0" w:type="auto"/>
                  <w:shd w:val="clear" w:color="auto" w:fill="FFFFFF"/>
                  <w:tcMar>
                    <w:top w:w="100" w:type="dxa"/>
                    <w:left w:w="160" w:type="dxa"/>
                    <w:bottom w:w="100" w:type="dxa"/>
                    <w:right w:w="160" w:type="dxa"/>
                  </w:tcMar>
                  <w:vAlign w:val="center"/>
                </w:tcPr>
                <w:p w14:paraId="736D19E0">
                  <w:pPr>
                    <w:bidi w:val="0"/>
                    <w:rPr>
                      <w:rFonts w:hint="default"/>
                    </w:rPr>
                  </w:pPr>
                  <w:r>
                    <w:rPr>
                      <w:rFonts w:hint="default"/>
                      <w:lang w:val="en-US" w:eastAsia="zh-CN"/>
                    </w:rPr>
                    <w:t>合计功能点</w:t>
                  </w:r>
                </w:p>
              </w:tc>
            </w:tr>
            <w:tr w14:paraId="5DA01C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EABFC8A">
                  <w:pPr>
                    <w:bidi w:val="0"/>
                    <w:rPr>
                      <w:rFonts w:hint="default"/>
                    </w:rPr>
                  </w:pPr>
                  <w:r>
                    <w:rPr>
                      <w:rFonts w:hint="default"/>
                      <w:lang w:val="en-US" w:eastAsia="zh-CN"/>
                    </w:rPr>
                    <w:t>内部逻辑文件 (ILF)</w:t>
                  </w:r>
                </w:p>
              </w:tc>
              <w:tc>
                <w:tcPr>
                  <w:tcW w:w="0" w:type="auto"/>
                  <w:shd w:val="clear" w:color="auto" w:fill="FFFFFF"/>
                  <w:tcMar>
                    <w:top w:w="100" w:type="dxa"/>
                    <w:left w:w="160" w:type="dxa"/>
                    <w:bottom w:w="100" w:type="dxa"/>
                    <w:right w:w="160" w:type="dxa"/>
                  </w:tcMar>
                  <w:vAlign w:val="center"/>
                </w:tcPr>
                <w:p w14:paraId="19D6C0F8">
                  <w:pPr>
                    <w:bidi w:val="0"/>
                    <w:rPr>
                      <w:rFonts w:hint="default"/>
                    </w:rPr>
                  </w:pPr>
                  <w:r>
                    <w:rPr>
                      <w:rFonts w:hint="default"/>
                      <w:lang w:val="en-US" w:eastAsia="zh-CN"/>
                    </w:rPr>
                    <w:t>8</w:t>
                  </w:r>
                </w:p>
              </w:tc>
              <w:tc>
                <w:tcPr>
                  <w:tcW w:w="0" w:type="auto"/>
                  <w:shd w:val="clear" w:color="auto" w:fill="FFFFFF"/>
                  <w:tcMar>
                    <w:top w:w="100" w:type="dxa"/>
                    <w:left w:w="160" w:type="dxa"/>
                    <w:bottom w:w="100" w:type="dxa"/>
                    <w:right w:w="160" w:type="dxa"/>
                  </w:tcMar>
                  <w:vAlign w:val="center"/>
                </w:tcPr>
                <w:p w14:paraId="25DF7930">
                  <w:pPr>
                    <w:bidi w:val="0"/>
                    <w:rPr>
                      <w:rFonts w:hint="default"/>
                    </w:rPr>
                  </w:pPr>
                  <w:r>
                    <w:rPr>
                      <w:rFonts w:hint="default"/>
                      <w:lang w:val="en-US" w:eastAsia="zh-CN"/>
                    </w:rPr>
                    <w:t>高</w:t>
                  </w:r>
                </w:p>
              </w:tc>
              <w:tc>
                <w:tcPr>
                  <w:tcW w:w="0" w:type="auto"/>
                  <w:shd w:val="clear" w:color="auto" w:fill="FFFFFF"/>
                  <w:tcMar>
                    <w:top w:w="100" w:type="dxa"/>
                    <w:left w:w="160" w:type="dxa"/>
                    <w:bottom w:w="100" w:type="dxa"/>
                    <w:right w:w="160" w:type="dxa"/>
                  </w:tcMar>
                  <w:vAlign w:val="center"/>
                </w:tcPr>
                <w:p w14:paraId="319102E7">
                  <w:pPr>
                    <w:bidi w:val="0"/>
                    <w:rPr>
                      <w:rFonts w:hint="default"/>
                    </w:rPr>
                  </w:pPr>
                  <w:r>
                    <w:rPr>
                      <w:rFonts w:hint="default"/>
                      <w:lang w:val="en-US" w:eastAsia="zh-CN"/>
                    </w:rPr>
                    <w:t>15</w:t>
                  </w:r>
                </w:p>
              </w:tc>
              <w:tc>
                <w:tcPr>
                  <w:tcW w:w="0" w:type="auto"/>
                  <w:shd w:val="clear" w:color="auto" w:fill="FFFFFF"/>
                  <w:tcMar>
                    <w:top w:w="100" w:type="dxa"/>
                    <w:left w:w="160" w:type="dxa"/>
                    <w:bottom w:w="100" w:type="dxa"/>
                    <w:right w:w="160" w:type="dxa"/>
                  </w:tcMar>
                  <w:vAlign w:val="center"/>
                </w:tcPr>
                <w:p w14:paraId="5943B357">
                  <w:pPr>
                    <w:bidi w:val="0"/>
                    <w:rPr>
                      <w:rFonts w:hint="default"/>
                    </w:rPr>
                  </w:pPr>
                  <w:r>
                    <w:rPr>
                      <w:rFonts w:hint="default"/>
                      <w:lang w:val="en-US" w:eastAsia="zh-CN"/>
                    </w:rPr>
                    <w:t>8 × 15</w:t>
                  </w:r>
                </w:p>
              </w:tc>
              <w:tc>
                <w:tcPr>
                  <w:tcW w:w="0" w:type="auto"/>
                  <w:shd w:val="clear" w:color="auto" w:fill="FFFFFF"/>
                  <w:tcMar>
                    <w:top w:w="100" w:type="dxa"/>
                    <w:left w:w="160" w:type="dxa"/>
                    <w:bottom w:w="100" w:type="dxa"/>
                    <w:right w:w="0" w:type="dxa"/>
                  </w:tcMar>
                  <w:vAlign w:val="center"/>
                </w:tcPr>
                <w:p w14:paraId="4133C537">
                  <w:pPr>
                    <w:bidi w:val="0"/>
                    <w:rPr>
                      <w:rFonts w:hint="default"/>
                    </w:rPr>
                  </w:pPr>
                  <w:r>
                    <w:rPr>
                      <w:rFonts w:hint="default"/>
                      <w:lang w:val="en-US" w:eastAsia="zh-CN"/>
                    </w:rPr>
                    <w:t>120</w:t>
                  </w:r>
                </w:p>
              </w:tc>
            </w:tr>
            <w:tr w14:paraId="2951CD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C3DCF08">
                  <w:pPr>
                    <w:bidi w:val="0"/>
                    <w:rPr>
                      <w:rFonts w:hint="default"/>
                    </w:rPr>
                  </w:pPr>
                  <w:r>
                    <w:rPr>
                      <w:rFonts w:hint="default"/>
                      <w:lang w:val="en-US" w:eastAsia="zh-CN"/>
                    </w:rPr>
                    <w:t>外部接口文件 (EIF)</w:t>
                  </w:r>
                </w:p>
              </w:tc>
              <w:tc>
                <w:tcPr>
                  <w:tcW w:w="0" w:type="auto"/>
                  <w:shd w:val="clear" w:color="auto" w:fill="FFFFFF"/>
                  <w:tcMar>
                    <w:top w:w="100" w:type="dxa"/>
                    <w:left w:w="160" w:type="dxa"/>
                    <w:bottom w:w="100" w:type="dxa"/>
                    <w:right w:w="160" w:type="dxa"/>
                  </w:tcMar>
                  <w:vAlign w:val="center"/>
                </w:tcPr>
                <w:p w14:paraId="1279710C">
                  <w:pPr>
                    <w:bidi w:val="0"/>
                    <w:rPr>
                      <w:rFonts w:hint="default"/>
                    </w:rPr>
                  </w:pPr>
                  <w:r>
                    <w:rPr>
                      <w:rFonts w:hint="default"/>
                      <w:lang w:val="en-US" w:eastAsia="zh-CN"/>
                    </w:rPr>
                    <w:t>7</w:t>
                  </w:r>
                </w:p>
              </w:tc>
              <w:tc>
                <w:tcPr>
                  <w:tcW w:w="0" w:type="auto"/>
                  <w:shd w:val="clear" w:color="auto" w:fill="FFFFFF"/>
                  <w:tcMar>
                    <w:top w:w="100" w:type="dxa"/>
                    <w:left w:w="160" w:type="dxa"/>
                    <w:bottom w:w="100" w:type="dxa"/>
                    <w:right w:w="160" w:type="dxa"/>
                  </w:tcMar>
                  <w:vAlign w:val="center"/>
                </w:tcPr>
                <w:p w14:paraId="12A9A114">
                  <w:pPr>
                    <w:bidi w:val="0"/>
                    <w:rPr>
                      <w:rFonts w:hint="default"/>
                    </w:rPr>
                  </w:pPr>
                  <w:r>
                    <w:rPr>
                      <w:rFonts w:hint="default"/>
                      <w:lang w:val="en-US" w:eastAsia="zh-CN"/>
                    </w:rPr>
                    <w:t>高</w:t>
                  </w:r>
                </w:p>
              </w:tc>
              <w:tc>
                <w:tcPr>
                  <w:tcW w:w="0" w:type="auto"/>
                  <w:shd w:val="clear" w:color="auto" w:fill="FFFFFF"/>
                  <w:tcMar>
                    <w:top w:w="100" w:type="dxa"/>
                    <w:left w:w="160" w:type="dxa"/>
                    <w:bottom w:w="100" w:type="dxa"/>
                    <w:right w:w="160" w:type="dxa"/>
                  </w:tcMar>
                  <w:vAlign w:val="center"/>
                </w:tcPr>
                <w:p w14:paraId="6ECA9372">
                  <w:pPr>
                    <w:bidi w:val="0"/>
                    <w:rPr>
                      <w:rFonts w:hint="default"/>
                    </w:rPr>
                  </w:pPr>
                  <w:r>
                    <w:rPr>
                      <w:rFonts w:hint="default"/>
                      <w:lang w:val="en-US" w:eastAsia="zh-CN"/>
                    </w:rPr>
                    <w:t>10</w:t>
                  </w:r>
                </w:p>
              </w:tc>
              <w:tc>
                <w:tcPr>
                  <w:tcW w:w="0" w:type="auto"/>
                  <w:shd w:val="clear" w:color="auto" w:fill="FFFFFF"/>
                  <w:tcMar>
                    <w:top w:w="100" w:type="dxa"/>
                    <w:left w:w="160" w:type="dxa"/>
                    <w:bottom w:w="100" w:type="dxa"/>
                    <w:right w:w="160" w:type="dxa"/>
                  </w:tcMar>
                  <w:vAlign w:val="center"/>
                </w:tcPr>
                <w:p w14:paraId="27EA007D">
                  <w:pPr>
                    <w:bidi w:val="0"/>
                    <w:rPr>
                      <w:rFonts w:hint="default"/>
                    </w:rPr>
                  </w:pPr>
                  <w:r>
                    <w:rPr>
                      <w:rFonts w:hint="default"/>
                      <w:lang w:val="en-US" w:eastAsia="zh-CN"/>
                    </w:rPr>
                    <w:t>7 × 10</w:t>
                  </w:r>
                </w:p>
              </w:tc>
              <w:tc>
                <w:tcPr>
                  <w:tcW w:w="0" w:type="auto"/>
                  <w:shd w:val="clear" w:color="auto" w:fill="FFFFFF"/>
                  <w:tcMar>
                    <w:top w:w="100" w:type="dxa"/>
                    <w:left w:w="160" w:type="dxa"/>
                    <w:bottom w:w="100" w:type="dxa"/>
                    <w:right w:w="0" w:type="dxa"/>
                  </w:tcMar>
                  <w:vAlign w:val="center"/>
                </w:tcPr>
                <w:p w14:paraId="4B9B6E13">
                  <w:pPr>
                    <w:bidi w:val="0"/>
                    <w:rPr>
                      <w:rFonts w:hint="default"/>
                    </w:rPr>
                  </w:pPr>
                  <w:r>
                    <w:rPr>
                      <w:rFonts w:hint="default"/>
                      <w:lang w:val="en-US" w:eastAsia="zh-CN"/>
                    </w:rPr>
                    <w:t>70</w:t>
                  </w:r>
                </w:p>
              </w:tc>
            </w:tr>
            <w:tr w14:paraId="593B57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E117F7D">
                  <w:pPr>
                    <w:bidi w:val="0"/>
                    <w:rPr>
                      <w:rFonts w:hint="default"/>
                    </w:rPr>
                  </w:pPr>
                  <w:r>
                    <w:rPr>
                      <w:rFonts w:hint="default"/>
                      <w:lang w:val="en-US" w:eastAsia="zh-CN"/>
                    </w:rPr>
                    <w:t>外部输入 (EI)</w:t>
                  </w:r>
                </w:p>
              </w:tc>
              <w:tc>
                <w:tcPr>
                  <w:tcW w:w="0" w:type="auto"/>
                  <w:shd w:val="clear" w:color="auto" w:fill="FFFFFF"/>
                  <w:tcMar>
                    <w:top w:w="100" w:type="dxa"/>
                    <w:left w:w="160" w:type="dxa"/>
                    <w:bottom w:w="100" w:type="dxa"/>
                    <w:right w:w="160" w:type="dxa"/>
                  </w:tcMar>
                  <w:vAlign w:val="center"/>
                </w:tcPr>
                <w:p w14:paraId="716726D2">
                  <w:pPr>
                    <w:bidi w:val="0"/>
                    <w:rPr>
                      <w:rFonts w:hint="default"/>
                    </w:rPr>
                  </w:pPr>
                  <w:r>
                    <w:rPr>
                      <w:rFonts w:hint="default"/>
                      <w:lang w:val="en-US" w:eastAsia="zh-CN"/>
                    </w:rPr>
                    <w:t>15</w:t>
                  </w:r>
                </w:p>
              </w:tc>
              <w:tc>
                <w:tcPr>
                  <w:tcW w:w="0" w:type="auto"/>
                  <w:shd w:val="clear" w:color="auto" w:fill="FFFFFF"/>
                  <w:tcMar>
                    <w:top w:w="100" w:type="dxa"/>
                    <w:left w:w="160" w:type="dxa"/>
                    <w:bottom w:w="100" w:type="dxa"/>
                    <w:right w:w="160" w:type="dxa"/>
                  </w:tcMar>
                  <w:vAlign w:val="center"/>
                </w:tcPr>
                <w:p w14:paraId="77DF7135">
                  <w:pPr>
                    <w:bidi w:val="0"/>
                    <w:rPr>
                      <w:rFonts w:hint="default"/>
                    </w:rPr>
                  </w:pPr>
                  <w:r>
                    <w:rPr>
                      <w:rFonts w:hint="default"/>
                      <w:lang w:val="en-US" w:eastAsia="zh-CN"/>
                    </w:rPr>
                    <w:t>混合(低/中/高)</w:t>
                  </w:r>
                </w:p>
              </w:tc>
              <w:tc>
                <w:tcPr>
                  <w:tcW w:w="0" w:type="auto"/>
                  <w:shd w:val="clear" w:color="auto" w:fill="FFFFFF"/>
                  <w:tcMar>
                    <w:top w:w="100" w:type="dxa"/>
                    <w:left w:w="160" w:type="dxa"/>
                    <w:bottom w:w="100" w:type="dxa"/>
                    <w:right w:w="160" w:type="dxa"/>
                  </w:tcMar>
                  <w:vAlign w:val="center"/>
                </w:tcPr>
                <w:p w14:paraId="42FBA9C1">
                  <w:pPr>
                    <w:bidi w:val="0"/>
                    <w:rPr>
                      <w:rFonts w:hint="default"/>
                    </w:rPr>
                  </w:pPr>
                  <w:r>
                    <w:rPr>
                      <w:rFonts w:hint="default"/>
                      <w:lang w:val="en-US" w:eastAsia="zh-CN"/>
                    </w:rPr>
                    <w:t>平均~4.3</w:t>
                  </w:r>
                </w:p>
              </w:tc>
              <w:tc>
                <w:tcPr>
                  <w:tcW w:w="0" w:type="auto"/>
                  <w:shd w:val="clear" w:color="auto" w:fill="FFFFFF"/>
                  <w:tcMar>
                    <w:top w:w="100" w:type="dxa"/>
                    <w:left w:w="160" w:type="dxa"/>
                    <w:bottom w:w="100" w:type="dxa"/>
                    <w:right w:w="160" w:type="dxa"/>
                  </w:tcMar>
                  <w:vAlign w:val="center"/>
                </w:tcPr>
                <w:p w14:paraId="36FFFEEA">
                  <w:pPr>
                    <w:bidi w:val="0"/>
                    <w:rPr>
                      <w:rFonts w:hint="default"/>
                    </w:rPr>
                  </w:pPr>
                  <w:r>
                    <w:rPr>
                      <w:rFonts w:hint="default"/>
                      <w:lang w:val="en-US" w:eastAsia="zh-CN"/>
                    </w:rPr>
                    <w:t>15 × 4.3</w:t>
                  </w:r>
                </w:p>
              </w:tc>
              <w:tc>
                <w:tcPr>
                  <w:tcW w:w="0" w:type="auto"/>
                  <w:shd w:val="clear" w:color="auto" w:fill="FFFFFF"/>
                  <w:tcMar>
                    <w:top w:w="100" w:type="dxa"/>
                    <w:left w:w="160" w:type="dxa"/>
                    <w:bottom w:w="100" w:type="dxa"/>
                    <w:right w:w="0" w:type="dxa"/>
                  </w:tcMar>
                  <w:vAlign w:val="center"/>
                </w:tcPr>
                <w:p w14:paraId="75FF7A5E">
                  <w:pPr>
                    <w:bidi w:val="0"/>
                    <w:rPr>
                      <w:rFonts w:hint="default"/>
                    </w:rPr>
                  </w:pPr>
                  <w:r>
                    <w:rPr>
                      <w:rFonts w:hint="default"/>
                      <w:lang w:val="en-US" w:eastAsia="zh-CN"/>
                    </w:rPr>
                    <w:t>65</w:t>
                  </w:r>
                </w:p>
              </w:tc>
            </w:tr>
            <w:tr w14:paraId="44D4B9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6F3703D9">
                  <w:pPr>
                    <w:bidi w:val="0"/>
                    <w:rPr>
                      <w:rFonts w:hint="default"/>
                    </w:rPr>
                  </w:pPr>
                  <w:r>
                    <w:rPr>
                      <w:rFonts w:hint="default"/>
                      <w:lang w:val="en-US" w:eastAsia="zh-CN"/>
                    </w:rPr>
                    <w:t>外部输出 (EO)</w:t>
                  </w:r>
                </w:p>
              </w:tc>
              <w:tc>
                <w:tcPr>
                  <w:tcW w:w="0" w:type="auto"/>
                  <w:shd w:val="clear" w:color="auto" w:fill="FFFFFF"/>
                  <w:tcMar>
                    <w:top w:w="100" w:type="dxa"/>
                    <w:left w:w="160" w:type="dxa"/>
                    <w:bottom w:w="100" w:type="dxa"/>
                    <w:right w:w="160" w:type="dxa"/>
                  </w:tcMar>
                  <w:vAlign w:val="center"/>
                </w:tcPr>
                <w:p w14:paraId="4BFEC3E7">
                  <w:pPr>
                    <w:bidi w:val="0"/>
                    <w:rPr>
                      <w:rFonts w:hint="default"/>
                    </w:rPr>
                  </w:pPr>
                  <w:r>
                    <w:rPr>
                      <w:rFonts w:hint="default"/>
                      <w:lang w:val="en-US" w:eastAsia="zh-CN"/>
                    </w:rPr>
                    <w:t>12</w:t>
                  </w:r>
                </w:p>
              </w:tc>
              <w:tc>
                <w:tcPr>
                  <w:tcW w:w="0" w:type="auto"/>
                  <w:shd w:val="clear" w:color="auto" w:fill="FFFFFF"/>
                  <w:tcMar>
                    <w:top w:w="100" w:type="dxa"/>
                    <w:left w:w="160" w:type="dxa"/>
                    <w:bottom w:w="100" w:type="dxa"/>
                    <w:right w:w="160" w:type="dxa"/>
                  </w:tcMar>
                  <w:vAlign w:val="center"/>
                </w:tcPr>
                <w:p w14:paraId="74DD6DBA">
                  <w:pPr>
                    <w:bidi w:val="0"/>
                    <w:rPr>
                      <w:rFonts w:hint="default"/>
                    </w:rPr>
                  </w:pPr>
                  <w:r>
                    <w:rPr>
                      <w:rFonts w:hint="default"/>
                      <w:lang w:val="en-US" w:eastAsia="zh-CN"/>
                    </w:rPr>
                    <w:t>高</w:t>
                  </w:r>
                </w:p>
              </w:tc>
              <w:tc>
                <w:tcPr>
                  <w:tcW w:w="0" w:type="auto"/>
                  <w:shd w:val="clear" w:color="auto" w:fill="FFFFFF"/>
                  <w:tcMar>
                    <w:top w:w="100" w:type="dxa"/>
                    <w:left w:w="160" w:type="dxa"/>
                    <w:bottom w:w="100" w:type="dxa"/>
                    <w:right w:w="160" w:type="dxa"/>
                  </w:tcMar>
                  <w:vAlign w:val="center"/>
                </w:tcPr>
                <w:p w14:paraId="5277DC08">
                  <w:pPr>
                    <w:bidi w:val="0"/>
                    <w:rPr>
                      <w:rFonts w:hint="default"/>
                    </w:rPr>
                  </w:pPr>
                  <w:r>
                    <w:rPr>
                      <w:rFonts w:hint="default"/>
                      <w:lang w:val="en-US" w:eastAsia="zh-CN"/>
                    </w:rPr>
                    <w:t>7</w:t>
                  </w:r>
                </w:p>
              </w:tc>
              <w:tc>
                <w:tcPr>
                  <w:tcW w:w="0" w:type="auto"/>
                  <w:shd w:val="clear" w:color="auto" w:fill="FFFFFF"/>
                  <w:tcMar>
                    <w:top w:w="100" w:type="dxa"/>
                    <w:left w:w="160" w:type="dxa"/>
                    <w:bottom w:w="100" w:type="dxa"/>
                    <w:right w:w="160" w:type="dxa"/>
                  </w:tcMar>
                  <w:vAlign w:val="center"/>
                </w:tcPr>
                <w:p w14:paraId="129C6199">
                  <w:pPr>
                    <w:bidi w:val="0"/>
                    <w:rPr>
                      <w:rFonts w:hint="default"/>
                    </w:rPr>
                  </w:pPr>
                  <w:r>
                    <w:rPr>
                      <w:rFonts w:hint="default"/>
                      <w:lang w:val="en-US" w:eastAsia="zh-CN"/>
                    </w:rPr>
                    <w:t>12 × 7</w:t>
                  </w:r>
                </w:p>
              </w:tc>
              <w:tc>
                <w:tcPr>
                  <w:tcW w:w="0" w:type="auto"/>
                  <w:shd w:val="clear" w:color="auto" w:fill="FFFFFF"/>
                  <w:tcMar>
                    <w:top w:w="100" w:type="dxa"/>
                    <w:left w:w="160" w:type="dxa"/>
                    <w:bottom w:w="100" w:type="dxa"/>
                    <w:right w:w="0" w:type="dxa"/>
                  </w:tcMar>
                  <w:vAlign w:val="center"/>
                </w:tcPr>
                <w:p w14:paraId="6CFDF0B3">
                  <w:pPr>
                    <w:bidi w:val="0"/>
                    <w:rPr>
                      <w:rFonts w:hint="default"/>
                    </w:rPr>
                  </w:pPr>
                  <w:r>
                    <w:rPr>
                      <w:rFonts w:hint="default"/>
                      <w:lang w:val="en-US" w:eastAsia="zh-CN"/>
                    </w:rPr>
                    <w:t>84</w:t>
                  </w:r>
                </w:p>
              </w:tc>
            </w:tr>
            <w:tr w14:paraId="665D08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A76B38C">
                  <w:pPr>
                    <w:bidi w:val="0"/>
                    <w:rPr>
                      <w:rFonts w:hint="default"/>
                    </w:rPr>
                  </w:pPr>
                  <w:r>
                    <w:rPr>
                      <w:rFonts w:hint="default"/>
                      <w:lang w:val="en-US" w:eastAsia="zh-CN"/>
                    </w:rPr>
                    <w:t>外部查询 (EQ)</w:t>
                  </w:r>
                </w:p>
              </w:tc>
              <w:tc>
                <w:tcPr>
                  <w:tcW w:w="0" w:type="auto"/>
                  <w:shd w:val="clear" w:color="auto" w:fill="FFFFFF"/>
                  <w:tcMar>
                    <w:top w:w="100" w:type="dxa"/>
                    <w:left w:w="160" w:type="dxa"/>
                    <w:bottom w:w="100" w:type="dxa"/>
                    <w:right w:w="160" w:type="dxa"/>
                  </w:tcMar>
                  <w:vAlign w:val="center"/>
                </w:tcPr>
                <w:p w14:paraId="0C702F95">
                  <w:pPr>
                    <w:bidi w:val="0"/>
                    <w:rPr>
                      <w:rFonts w:hint="default"/>
                    </w:rPr>
                  </w:pPr>
                  <w:r>
                    <w:rPr>
                      <w:rFonts w:hint="default"/>
                      <w:lang w:val="en-US" w:eastAsia="zh-CN"/>
                    </w:rPr>
                    <w:t>10</w:t>
                  </w:r>
                </w:p>
              </w:tc>
              <w:tc>
                <w:tcPr>
                  <w:tcW w:w="0" w:type="auto"/>
                  <w:shd w:val="clear" w:color="auto" w:fill="FFFFFF"/>
                  <w:tcMar>
                    <w:top w:w="100" w:type="dxa"/>
                    <w:left w:w="160" w:type="dxa"/>
                    <w:bottom w:w="100" w:type="dxa"/>
                    <w:right w:w="160" w:type="dxa"/>
                  </w:tcMar>
                  <w:vAlign w:val="center"/>
                </w:tcPr>
                <w:p w14:paraId="5B2250F2">
                  <w:pPr>
                    <w:bidi w:val="0"/>
                    <w:rPr>
                      <w:rFonts w:hint="default"/>
                    </w:rPr>
                  </w:pPr>
                  <w:r>
                    <w:rPr>
                      <w:rFonts w:hint="default"/>
                      <w:lang w:val="en-US" w:eastAsia="zh-CN"/>
                    </w:rPr>
                    <w:t>中-高</w:t>
                  </w:r>
                </w:p>
              </w:tc>
              <w:tc>
                <w:tcPr>
                  <w:tcW w:w="0" w:type="auto"/>
                  <w:shd w:val="clear" w:color="auto" w:fill="FFFFFF"/>
                  <w:tcMar>
                    <w:top w:w="100" w:type="dxa"/>
                    <w:left w:w="160" w:type="dxa"/>
                    <w:bottom w:w="100" w:type="dxa"/>
                    <w:right w:w="160" w:type="dxa"/>
                  </w:tcMar>
                  <w:vAlign w:val="center"/>
                </w:tcPr>
                <w:p w14:paraId="36E29F9F">
                  <w:pPr>
                    <w:bidi w:val="0"/>
                    <w:rPr>
                      <w:rFonts w:hint="default"/>
                    </w:rPr>
                  </w:pPr>
                  <w:r>
                    <w:rPr>
                      <w:rFonts w:hint="default"/>
                      <w:lang w:val="en-US" w:eastAsia="zh-CN"/>
                    </w:rPr>
                    <w:t>平均~5</w:t>
                  </w:r>
                </w:p>
              </w:tc>
              <w:tc>
                <w:tcPr>
                  <w:tcW w:w="0" w:type="auto"/>
                  <w:shd w:val="clear" w:color="auto" w:fill="FFFFFF"/>
                  <w:tcMar>
                    <w:top w:w="100" w:type="dxa"/>
                    <w:left w:w="160" w:type="dxa"/>
                    <w:bottom w:w="100" w:type="dxa"/>
                    <w:right w:w="160" w:type="dxa"/>
                  </w:tcMar>
                  <w:vAlign w:val="center"/>
                </w:tcPr>
                <w:p w14:paraId="52765DC6">
                  <w:pPr>
                    <w:bidi w:val="0"/>
                    <w:rPr>
                      <w:rFonts w:hint="default"/>
                    </w:rPr>
                  </w:pPr>
                  <w:r>
                    <w:rPr>
                      <w:rFonts w:hint="default"/>
                      <w:lang w:val="en-US" w:eastAsia="zh-CN"/>
                    </w:rPr>
                    <w:t>10 × 5</w:t>
                  </w:r>
                </w:p>
              </w:tc>
              <w:tc>
                <w:tcPr>
                  <w:tcW w:w="0" w:type="auto"/>
                  <w:shd w:val="clear" w:color="auto" w:fill="FFFFFF"/>
                  <w:tcMar>
                    <w:top w:w="100" w:type="dxa"/>
                    <w:left w:w="160" w:type="dxa"/>
                    <w:bottom w:w="100" w:type="dxa"/>
                    <w:right w:w="0" w:type="dxa"/>
                  </w:tcMar>
                  <w:vAlign w:val="center"/>
                </w:tcPr>
                <w:p w14:paraId="01D89FE8">
                  <w:pPr>
                    <w:bidi w:val="0"/>
                    <w:rPr>
                      <w:rFonts w:hint="default"/>
                    </w:rPr>
                  </w:pPr>
                  <w:r>
                    <w:rPr>
                      <w:rFonts w:hint="default"/>
                      <w:lang w:val="en-US" w:eastAsia="zh-CN"/>
                    </w:rPr>
                    <w:t>50</w:t>
                  </w:r>
                </w:p>
              </w:tc>
            </w:tr>
            <w:tr w14:paraId="641CE3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6ADD6BA5">
                  <w:pPr>
                    <w:bidi w:val="0"/>
                    <w:rPr>
                      <w:rFonts w:hint="default"/>
                    </w:rPr>
                  </w:pPr>
                  <w:r>
                    <w:rPr>
                      <w:rFonts w:hint="default"/>
                      <w:lang w:val="en-US" w:eastAsia="zh-CN"/>
                    </w:rPr>
                    <w:t>未调整功能点总数 (UF</w:t>
                  </w:r>
                  <w:r>
                    <w:rPr>
                      <w:rFonts w:hint="eastAsia"/>
                      <w:lang w:val="en-US" w:eastAsia="zh-CN"/>
                    </w:rPr>
                    <w:t>C</w:t>
                  </w:r>
                  <w:r>
                    <w:rPr>
                      <w:rFonts w:hint="default"/>
                      <w:lang w:val="en-US" w:eastAsia="zh-CN"/>
                    </w:rPr>
                    <w:t>)</w:t>
                  </w:r>
                </w:p>
              </w:tc>
              <w:tc>
                <w:tcPr>
                  <w:tcW w:w="0" w:type="auto"/>
                  <w:shd w:val="clear" w:color="auto" w:fill="FFFFFF"/>
                  <w:tcMar>
                    <w:top w:w="100" w:type="dxa"/>
                    <w:left w:w="160" w:type="dxa"/>
                    <w:bottom w:w="100" w:type="dxa"/>
                    <w:right w:w="160" w:type="dxa"/>
                  </w:tcMar>
                  <w:vAlign w:val="center"/>
                </w:tcPr>
                <w:p w14:paraId="545D3374">
                  <w:pPr>
                    <w:bidi w:val="0"/>
                    <w:rPr>
                      <w:rFonts w:hint="default"/>
                    </w:rPr>
                  </w:pPr>
                </w:p>
              </w:tc>
              <w:tc>
                <w:tcPr>
                  <w:tcW w:w="0" w:type="auto"/>
                  <w:shd w:val="clear" w:color="auto" w:fill="FFFFFF"/>
                  <w:tcMar>
                    <w:top w:w="100" w:type="dxa"/>
                    <w:left w:w="160" w:type="dxa"/>
                    <w:bottom w:w="100" w:type="dxa"/>
                    <w:right w:w="160" w:type="dxa"/>
                  </w:tcMar>
                  <w:vAlign w:val="center"/>
                </w:tcPr>
                <w:p w14:paraId="15D0F746">
                  <w:pPr>
                    <w:bidi w:val="0"/>
                    <w:rPr>
                      <w:rFonts w:hint="default"/>
                    </w:rPr>
                  </w:pPr>
                </w:p>
              </w:tc>
              <w:tc>
                <w:tcPr>
                  <w:tcW w:w="0" w:type="auto"/>
                  <w:shd w:val="clear" w:color="auto" w:fill="FFFFFF"/>
                  <w:tcMar>
                    <w:top w:w="100" w:type="dxa"/>
                    <w:left w:w="160" w:type="dxa"/>
                    <w:bottom w:w="100" w:type="dxa"/>
                    <w:right w:w="160" w:type="dxa"/>
                  </w:tcMar>
                  <w:vAlign w:val="center"/>
                </w:tcPr>
                <w:p w14:paraId="1D499FCB">
                  <w:pPr>
                    <w:bidi w:val="0"/>
                    <w:rPr>
                      <w:rFonts w:hint="default"/>
                    </w:rPr>
                  </w:pPr>
                </w:p>
              </w:tc>
              <w:tc>
                <w:tcPr>
                  <w:tcW w:w="0" w:type="auto"/>
                  <w:shd w:val="clear" w:color="auto" w:fill="FFFFFF"/>
                  <w:tcMar>
                    <w:top w:w="100" w:type="dxa"/>
                    <w:left w:w="160" w:type="dxa"/>
                    <w:bottom w:w="100" w:type="dxa"/>
                    <w:right w:w="160" w:type="dxa"/>
                  </w:tcMar>
                  <w:vAlign w:val="center"/>
                </w:tcPr>
                <w:p w14:paraId="11FF387E">
                  <w:pPr>
                    <w:bidi w:val="0"/>
                    <w:rPr>
                      <w:rFonts w:hint="default"/>
                    </w:rPr>
                  </w:pPr>
                </w:p>
              </w:tc>
              <w:tc>
                <w:tcPr>
                  <w:tcW w:w="0" w:type="auto"/>
                  <w:shd w:val="clear" w:color="auto" w:fill="FFFFFF"/>
                  <w:tcMar>
                    <w:top w:w="100" w:type="dxa"/>
                    <w:left w:w="160" w:type="dxa"/>
                    <w:bottom w:w="100" w:type="dxa"/>
                    <w:right w:w="0" w:type="dxa"/>
                  </w:tcMar>
                  <w:vAlign w:val="center"/>
                </w:tcPr>
                <w:p w14:paraId="658689D9">
                  <w:pPr>
                    <w:bidi w:val="0"/>
                    <w:rPr>
                      <w:rFonts w:hint="default"/>
                    </w:rPr>
                  </w:pPr>
                  <w:r>
                    <w:rPr>
                      <w:rFonts w:hint="default"/>
                      <w:lang w:val="en-US" w:eastAsia="zh-CN"/>
                    </w:rPr>
                    <w:t>389</w:t>
                  </w:r>
                </w:p>
              </w:tc>
            </w:tr>
          </w:tbl>
          <w:p w14:paraId="09079AE1">
            <w:pPr>
              <w:bidi w:val="0"/>
              <w:rPr>
                <w:rFonts w:hint="default"/>
              </w:rPr>
            </w:pPr>
            <w:r>
              <w:rPr>
                <w:rFonts w:hint="default"/>
              </w:rPr>
              <w:t>b) 计算调整后功能点（FP）</w:t>
            </w:r>
          </w:p>
          <w:p w14:paraId="45EB4AA6">
            <w:pPr>
              <w:bidi w:val="0"/>
            </w:pPr>
            <w:r>
              <w:rPr>
                <w:rFonts w:hint="default"/>
              </w:rPr>
              <w:t>计算价值调整因子（</w:t>
            </w:r>
            <w:r>
              <w:rPr>
                <w:rFonts w:hint="eastAsia"/>
                <w:lang w:val="en-US" w:eastAsia="zh-CN"/>
              </w:rPr>
              <w:t>TC</w:t>
            </w:r>
            <w:r>
              <w:rPr>
                <w:rFonts w:hint="default"/>
              </w:rPr>
              <w:t>F）。根据14个通用系统特性（GSC）进行打分（0-5分），本项目在数据通信、性能、配置、复用性、集成复杂度、安全等方面要求较高。</w:t>
            </w:r>
          </w:p>
          <w:p w14:paraId="6677BCA5">
            <w:pPr>
              <w:bidi w:val="0"/>
            </w:pPr>
            <w:r>
              <w:rPr>
                <w:rFonts w:hint="default"/>
              </w:rPr>
              <w:t>假设∑GSC = 40（中等偏高复杂度）。</w:t>
            </w:r>
          </w:p>
          <w:p w14:paraId="44BC8520">
            <w:pPr>
              <w:bidi w:val="0"/>
            </w:pPr>
            <w:r>
              <w:rPr>
                <w:rFonts w:hint="eastAsia"/>
                <w:lang w:val="en-US" w:eastAsia="zh-CN"/>
              </w:rPr>
              <w:t>TCF</w:t>
            </w:r>
            <w:r>
              <w:rPr>
                <w:rFonts w:hint="default"/>
              </w:rPr>
              <w:t xml:space="preserve"> = 0.65 + (∑GSC</w:t>
            </w:r>
            <w:r>
              <w:rPr>
                <w:rFonts w:hint="eastAsia"/>
                <w:lang w:val="en-US" w:eastAsia="zh-CN"/>
              </w:rPr>
              <w:t>*0.01</w:t>
            </w:r>
            <w:r>
              <w:rPr>
                <w:rFonts w:hint="default"/>
              </w:rPr>
              <w:t>) = 0.65 + (40</w:t>
            </w:r>
            <w:r>
              <w:rPr>
                <w:rFonts w:hint="eastAsia"/>
                <w:lang w:val="en-US" w:eastAsia="zh-CN"/>
              </w:rPr>
              <w:t>*0.01</w:t>
            </w:r>
            <w:r>
              <w:rPr>
                <w:rFonts w:hint="default"/>
              </w:rPr>
              <w:t>) = 1.05</w:t>
            </w:r>
          </w:p>
          <w:p w14:paraId="27CCB959">
            <w:pPr>
              <w:bidi w:val="0"/>
            </w:pPr>
            <w:r>
              <w:rPr>
                <w:rFonts w:hint="default"/>
              </w:rPr>
              <w:t>调整后功能点 (</w:t>
            </w:r>
            <w:r>
              <w:rPr>
                <w:rFonts w:hint="eastAsia"/>
                <w:lang w:val="en-US" w:eastAsia="zh-CN"/>
              </w:rPr>
              <w:t>FP</w:t>
            </w:r>
            <w:r>
              <w:rPr>
                <w:rFonts w:hint="default"/>
              </w:rPr>
              <w:t>) = UF</w:t>
            </w:r>
            <w:r>
              <w:rPr>
                <w:rFonts w:hint="eastAsia"/>
                <w:lang w:val="en-US" w:eastAsia="zh-CN"/>
              </w:rPr>
              <w:t>C</w:t>
            </w:r>
            <w:r>
              <w:rPr>
                <w:rFonts w:hint="default"/>
              </w:rPr>
              <w:t xml:space="preserve"> × </w:t>
            </w:r>
            <w:r>
              <w:rPr>
                <w:rFonts w:hint="eastAsia"/>
                <w:lang w:val="en-US" w:eastAsia="zh-CN"/>
              </w:rPr>
              <w:t>TCF</w:t>
            </w:r>
            <w:r>
              <w:rPr>
                <w:rFonts w:hint="default"/>
              </w:rPr>
              <w:t xml:space="preserve"> =</w:t>
            </w:r>
            <w:r>
              <w:rPr>
                <w:rFonts w:hint="eastAsia"/>
                <w:lang w:val="en-US" w:eastAsia="zh-CN"/>
              </w:rPr>
              <w:t>389</w:t>
            </w:r>
            <w:r>
              <w:rPr>
                <w:rFonts w:hint="default"/>
              </w:rPr>
              <w:t xml:space="preserve">× 1.05 ≈ </w:t>
            </w:r>
            <w:r>
              <w:rPr>
                <w:rFonts w:hint="eastAsia"/>
                <w:lang w:val="en-US" w:eastAsia="zh-CN"/>
              </w:rPr>
              <w:t>408</w:t>
            </w:r>
            <w:r>
              <w:rPr>
                <w:rFonts w:hint="default"/>
              </w:rPr>
              <w:t xml:space="preserve"> 功能点</w:t>
            </w:r>
          </w:p>
          <w:p w14:paraId="0585F79F">
            <w:pPr>
              <w:bidi w:val="0"/>
              <w:rPr>
                <w:rFonts w:hint="default"/>
              </w:rPr>
            </w:pPr>
            <w:r>
              <w:rPr>
                <w:rFonts w:hint="default"/>
              </w:rPr>
              <w:t>c) 估算工作量与成本</w:t>
            </w:r>
          </w:p>
          <w:p w14:paraId="0D5A8AFA">
            <w:pPr>
              <w:bidi w:val="0"/>
            </w:pPr>
            <w:r>
              <w:rPr>
                <w:rFonts w:hint="default"/>
              </w:rPr>
              <w:t>生产率： 参考行业标准及项目复杂度，设定生产率为 12人时/功能点。</w:t>
            </w:r>
          </w:p>
          <w:p w14:paraId="1D2BD162">
            <w:pPr>
              <w:bidi w:val="0"/>
              <w:rPr>
                <w:rFonts w:hint="default"/>
              </w:rPr>
            </w:pPr>
            <w:r>
              <w:rPr>
                <w:rFonts w:hint="default"/>
              </w:rPr>
              <w:t>工作量： </w:t>
            </w:r>
            <w:r>
              <w:rPr>
                <w:rFonts w:hint="eastAsia"/>
                <w:lang w:val="en-US" w:eastAsia="zh-CN"/>
              </w:rPr>
              <w:t>408</w:t>
            </w:r>
            <w:r>
              <w:rPr>
                <w:rFonts w:hint="default"/>
              </w:rPr>
              <w:t xml:space="preserve">FP × 12 人时/FP = </w:t>
            </w:r>
            <w:r>
              <w:rPr>
                <w:rFonts w:hint="eastAsia"/>
                <w:lang w:val="en-US" w:eastAsia="zh-CN"/>
              </w:rPr>
              <w:t>27.8人月</w:t>
            </w:r>
            <w:r>
              <w:rPr>
                <w:rFonts w:hint="default"/>
              </w:rPr>
              <w:t>。</w:t>
            </w:r>
          </w:p>
          <w:p w14:paraId="028C8BF5">
            <w:pPr>
              <w:bidi w:val="0"/>
            </w:pPr>
            <w:r>
              <w:rPr>
                <w:rFonts w:hint="default"/>
              </w:rPr>
              <w:t>开发人力成本：</w:t>
            </w:r>
          </w:p>
          <w:p w14:paraId="1E01F57D">
            <w:pPr>
              <w:bidi w:val="0"/>
            </w:pPr>
            <w:r>
              <w:rPr>
                <w:rFonts w:hint="default"/>
              </w:rPr>
              <w:t>假设平均人力成本为 28,000元/人月。</w:t>
            </w:r>
          </w:p>
          <w:p w14:paraId="5B47C264">
            <w:pPr>
              <w:bidi w:val="0"/>
              <w:rPr>
                <w:rFonts w:hint="default"/>
              </w:rPr>
            </w:pPr>
            <w:r>
              <w:rPr>
                <w:rFonts w:hint="default"/>
              </w:rPr>
              <w:t>开发人力成本 = 2</w:t>
            </w:r>
            <w:r>
              <w:rPr>
                <w:rFonts w:hint="eastAsia"/>
                <w:lang w:val="en-US" w:eastAsia="zh-CN"/>
              </w:rPr>
              <w:t>7.8</w:t>
            </w:r>
            <w:r>
              <w:rPr>
                <w:rFonts w:hint="default"/>
              </w:rPr>
              <w:t>人月 × 28,000元/人月 =</w:t>
            </w:r>
            <w:r>
              <w:rPr>
                <w:rFonts w:hint="eastAsia"/>
                <w:lang w:val="en-US" w:eastAsia="zh-CN"/>
              </w:rPr>
              <w:t>778400</w:t>
            </w:r>
            <w:r>
              <w:rPr>
                <w:rFonts w:hint="default"/>
              </w:rPr>
              <w:t>元。</w:t>
            </w:r>
          </w:p>
          <w:p w14:paraId="754752D7">
            <w:pPr>
              <w:bidi w:val="0"/>
              <w:rPr>
                <w:rFonts w:hint="eastAsia"/>
                <w:lang w:val="en-US" w:eastAsia="zh-CN"/>
              </w:rPr>
            </w:pPr>
            <w:r>
              <w:rPr>
                <w:rFonts w:hint="eastAsia"/>
                <w:lang w:val="en-US" w:eastAsia="zh-CN"/>
              </w:rPr>
              <w:t>非人力成本：</w:t>
            </w:r>
          </w:p>
          <w:p w14:paraId="6D8A5D5F">
            <w:pPr>
              <w:numPr>
                <w:numId w:val="0"/>
              </w:numPr>
              <w:bidi w:val="0"/>
            </w:pPr>
            <w:r>
              <w:t>等保测评费用：</w:t>
            </w:r>
            <w:r>
              <w:rPr>
                <w:rFonts w:hint="default"/>
              </w:rPr>
              <w:t> 150,000元 (招标文件要求供应商承担)。</w:t>
            </w:r>
          </w:p>
          <w:p w14:paraId="5F079D8E">
            <w:pPr>
              <w:numPr>
                <w:numId w:val="0"/>
              </w:numPr>
              <w:bidi w:val="0"/>
            </w:pPr>
            <w:r>
              <w:rPr>
                <w:rFonts w:hint="default"/>
              </w:rPr>
              <w:t>一年免费驻场运维（1人）： 180,000元 (估算)。</w:t>
            </w:r>
          </w:p>
          <w:p w14:paraId="5F42401A">
            <w:pPr>
              <w:numPr>
                <w:numId w:val="0"/>
              </w:numPr>
              <w:bidi w:val="0"/>
            </w:pPr>
            <w:r>
              <w:rPr>
                <w:rFonts w:hint="default"/>
              </w:rPr>
              <w:t>硬件/网络/第三方软件许可： 150,000元 (估算)。</w:t>
            </w:r>
          </w:p>
          <w:p w14:paraId="651CF735">
            <w:pPr>
              <w:numPr>
                <w:numId w:val="0"/>
              </w:numPr>
              <w:bidi w:val="0"/>
            </w:pPr>
            <w:r>
              <w:rPr>
                <w:rFonts w:hint="default"/>
              </w:rPr>
              <w:t>合计非人力成本：480,000元。</w:t>
            </w:r>
          </w:p>
          <w:p w14:paraId="5FC0526A">
            <w:pPr>
              <w:numPr>
                <w:numId w:val="0"/>
              </w:numPr>
              <w:bidi w:val="0"/>
              <w:rPr>
                <w:rFonts w:hint="eastAsia"/>
                <w:lang w:val="en-US" w:eastAsia="zh-CN"/>
              </w:rPr>
            </w:pPr>
            <w:r>
              <w:rPr>
                <w:rFonts w:hint="eastAsia"/>
                <w:lang w:val="en-US" w:eastAsia="zh-CN"/>
              </w:rPr>
              <w:t>总成本：</w:t>
            </w:r>
          </w:p>
          <w:p w14:paraId="3BB1BABD">
            <w:pPr>
              <w:numPr>
                <w:numId w:val="0"/>
              </w:numPr>
              <w:bidi w:val="0"/>
              <w:rPr>
                <w:rFonts w:hint="default"/>
                <w:lang w:val="en-US" w:eastAsia="zh-CN"/>
              </w:rPr>
            </w:pPr>
            <w:r>
              <w:rPr>
                <w:rFonts w:hint="eastAsia"/>
                <w:lang w:val="en-US" w:eastAsia="zh-CN"/>
              </w:rPr>
              <w:t>人力成本 +非人力成本 =1,258,400元。</w:t>
            </w:r>
          </w:p>
          <w:p w14:paraId="78D108F9">
            <w:pPr>
              <w:bidi w:val="0"/>
              <w:rPr>
                <w:rFonts w:hint="default"/>
              </w:rPr>
            </w:pPr>
            <w:r>
              <w:rPr>
                <w:rFonts w:hint="default"/>
              </w:rPr>
              <w:t>2.2 方法二：自下而上估算法</w:t>
            </w:r>
          </w:p>
          <w:p w14:paraId="63905D83">
            <w:pPr>
              <w:bidi w:val="0"/>
              <w:rPr>
                <w:rFonts w:hint="default"/>
              </w:rPr>
            </w:pPr>
            <w:r>
              <w:rPr>
                <w:rFonts w:hint="default"/>
              </w:rPr>
              <w:t>a) 工作分解结构（WBS）与工作量估算</w:t>
            </w:r>
          </w:p>
          <w:tbl>
            <w:tblPr>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935"/>
              <w:gridCol w:w="1701"/>
              <w:gridCol w:w="4650"/>
            </w:tblGrid>
            <w:tr w14:paraId="015D8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rPr>
              <w:tc>
                <w:tcPr>
                  <w:tcW w:w="0" w:type="auto"/>
                  <w:tcBorders>
                    <w:tl2br w:val="nil"/>
                    <w:tr2bl w:val="nil"/>
                  </w:tcBorders>
                  <w:shd w:val="clear"/>
                  <w:tcMar>
                    <w:top w:w="100" w:type="dxa"/>
                    <w:left w:w="0" w:type="dxa"/>
                    <w:bottom w:w="100" w:type="dxa"/>
                    <w:right w:w="160" w:type="dxa"/>
                  </w:tcMar>
                  <w:vAlign w:val="center"/>
                </w:tcPr>
                <w:p w14:paraId="629A5DDF">
                  <w:pPr>
                    <w:bidi w:val="0"/>
                    <w:rPr>
                      <w:rFonts w:hint="default"/>
                    </w:rPr>
                  </w:pPr>
                  <w:r>
                    <w:rPr>
                      <w:rFonts w:hint="default"/>
                      <w:lang w:val="en-US" w:eastAsia="zh-CN"/>
                    </w:rPr>
                    <w:t>阶段/WBS任务</w:t>
                  </w:r>
                </w:p>
              </w:tc>
              <w:tc>
                <w:tcPr>
                  <w:tcW w:w="0" w:type="auto"/>
                  <w:tcBorders>
                    <w:tl2br w:val="nil"/>
                    <w:tr2bl w:val="nil"/>
                  </w:tcBorders>
                  <w:shd w:val="clear"/>
                  <w:tcMar>
                    <w:top w:w="100" w:type="dxa"/>
                    <w:left w:w="160" w:type="dxa"/>
                    <w:bottom w:w="100" w:type="dxa"/>
                    <w:right w:w="160" w:type="dxa"/>
                  </w:tcMar>
                  <w:vAlign w:val="center"/>
                </w:tcPr>
                <w:p w14:paraId="0F1A8FA2">
                  <w:pPr>
                    <w:bidi w:val="0"/>
                    <w:rPr>
                      <w:rFonts w:hint="default"/>
                    </w:rPr>
                  </w:pPr>
                  <w:r>
                    <w:rPr>
                      <w:rFonts w:hint="default"/>
                      <w:lang w:val="en-US" w:eastAsia="zh-CN"/>
                    </w:rPr>
                    <w:t>工作量估算 (人月)</w:t>
                  </w:r>
                </w:p>
              </w:tc>
              <w:tc>
                <w:tcPr>
                  <w:tcW w:w="0" w:type="auto"/>
                  <w:tcBorders>
                    <w:tl2br w:val="nil"/>
                    <w:tr2bl w:val="nil"/>
                  </w:tcBorders>
                  <w:shd w:val="clear"/>
                  <w:tcMar>
                    <w:top w:w="100" w:type="dxa"/>
                    <w:left w:w="160" w:type="dxa"/>
                    <w:bottom w:w="100" w:type="dxa"/>
                    <w:right w:w="160" w:type="dxa"/>
                  </w:tcMar>
                  <w:vAlign w:val="center"/>
                </w:tcPr>
                <w:p w14:paraId="2E654DF2">
                  <w:pPr>
                    <w:bidi w:val="0"/>
                    <w:rPr>
                      <w:rFonts w:hint="default"/>
                    </w:rPr>
                  </w:pPr>
                  <w:r>
                    <w:rPr>
                      <w:rFonts w:hint="default"/>
                      <w:lang w:val="en-US" w:eastAsia="zh-CN"/>
                    </w:rPr>
                    <w:t>备注</w:t>
                  </w:r>
                </w:p>
              </w:tc>
            </w:tr>
            <w:tr w14:paraId="19E83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tcMar>
                    <w:top w:w="100" w:type="dxa"/>
                    <w:left w:w="0" w:type="dxa"/>
                    <w:bottom w:w="100" w:type="dxa"/>
                    <w:right w:w="160" w:type="dxa"/>
                  </w:tcMar>
                  <w:vAlign w:val="center"/>
                </w:tcPr>
                <w:p w14:paraId="5F81610A">
                  <w:pPr>
                    <w:bidi w:val="0"/>
                    <w:rPr>
                      <w:rFonts w:hint="default"/>
                    </w:rPr>
                  </w:pPr>
                  <w:r>
                    <w:rPr>
                      <w:rFonts w:hint="default"/>
                      <w:lang w:val="en-US" w:eastAsia="zh-CN"/>
                    </w:rPr>
                    <w:t>1. 需求分析与规划</w:t>
                  </w:r>
                </w:p>
              </w:tc>
              <w:tc>
                <w:tcPr>
                  <w:tcW w:w="0" w:type="auto"/>
                  <w:tcBorders>
                    <w:tl2br w:val="nil"/>
                    <w:tr2bl w:val="nil"/>
                  </w:tcBorders>
                  <w:shd w:val="clear"/>
                  <w:tcMar>
                    <w:top w:w="100" w:type="dxa"/>
                    <w:left w:w="160" w:type="dxa"/>
                    <w:bottom w:w="100" w:type="dxa"/>
                    <w:right w:w="160" w:type="dxa"/>
                  </w:tcMar>
                  <w:vAlign w:val="center"/>
                </w:tcPr>
                <w:p w14:paraId="35CCE1BC">
                  <w:pPr>
                    <w:bidi w:val="0"/>
                    <w:rPr>
                      <w:rFonts w:hint="default"/>
                    </w:rPr>
                  </w:pPr>
                  <w:r>
                    <w:rPr>
                      <w:rFonts w:hint="default"/>
                      <w:lang w:val="en-US" w:eastAsia="zh-CN"/>
                    </w:rPr>
                    <w:t>3.5</w:t>
                  </w:r>
                </w:p>
              </w:tc>
              <w:tc>
                <w:tcPr>
                  <w:tcW w:w="0" w:type="auto"/>
                  <w:tcBorders>
                    <w:tl2br w:val="nil"/>
                    <w:tr2bl w:val="nil"/>
                  </w:tcBorders>
                  <w:shd w:val="clear"/>
                  <w:tcMar>
                    <w:top w:w="100" w:type="dxa"/>
                    <w:left w:w="160" w:type="dxa"/>
                    <w:bottom w:w="100" w:type="dxa"/>
                    <w:right w:w="0" w:type="dxa"/>
                  </w:tcMar>
                  <w:vAlign w:val="center"/>
                </w:tcPr>
                <w:p w14:paraId="793EF867">
                  <w:pPr>
                    <w:bidi w:val="0"/>
                    <w:rPr>
                      <w:rFonts w:hint="default"/>
                    </w:rPr>
                  </w:pPr>
                  <w:r>
                    <w:rPr>
                      <w:rFonts w:hint="default"/>
                      <w:lang w:val="en-US" w:eastAsia="zh-CN"/>
                    </w:rPr>
                    <w:t>深入调研、需求规格说明书、与6大系统对接方案</w:t>
                  </w:r>
                </w:p>
              </w:tc>
            </w:tr>
            <w:tr w14:paraId="593A9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tcMar>
                    <w:top w:w="100" w:type="dxa"/>
                    <w:left w:w="0" w:type="dxa"/>
                    <w:bottom w:w="100" w:type="dxa"/>
                    <w:right w:w="160" w:type="dxa"/>
                  </w:tcMar>
                  <w:vAlign w:val="center"/>
                </w:tcPr>
                <w:p w14:paraId="14EB7043">
                  <w:pPr>
                    <w:bidi w:val="0"/>
                    <w:rPr>
                      <w:rFonts w:hint="default"/>
                    </w:rPr>
                  </w:pPr>
                  <w:r>
                    <w:rPr>
                      <w:rFonts w:hint="default"/>
                      <w:lang w:val="en-US" w:eastAsia="zh-CN"/>
                    </w:rPr>
                    <w:t>2. 系统设计与架构</w:t>
                  </w:r>
                </w:p>
              </w:tc>
              <w:tc>
                <w:tcPr>
                  <w:tcW w:w="0" w:type="auto"/>
                  <w:tcBorders>
                    <w:tl2br w:val="nil"/>
                    <w:tr2bl w:val="nil"/>
                  </w:tcBorders>
                  <w:shd w:val="clear"/>
                  <w:tcMar>
                    <w:top w:w="100" w:type="dxa"/>
                    <w:left w:w="160" w:type="dxa"/>
                    <w:bottom w:w="100" w:type="dxa"/>
                    <w:right w:w="160" w:type="dxa"/>
                  </w:tcMar>
                  <w:vAlign w:val="center"/>
                </w:tcPr>
                <w:p w14:paraId="75ED42FA">
                  <w:pPr>
                    <w:bidi w:val="0"/>
                    <w:rPr>
                      <w:rFonts w:hint="default"/>
                    </w:rPr>
                  </w:pPr>
                  <w:r>
                    <w:rPr>
                      <w:rFonts w:hint="default"/>
                      <w:lang w:val="en-US" w:eastAsia="zh-CN"/>
                    </w:rPr>
                    <w:t>4</w:t>
                  </w:r>
                </w:p>
              </w:tc>
              <w:tc>
                <w:tcPr>
                  <w:tcW w:w="0" w:type="auto"/>
                  <w:tcBorders>
                    <w:tl2br w:val="nil"/>
                    <w:tr2bl w:val="nil"/>
                  </w:tcBorders>
                  <w:shd w:val="clear"/>
                  <w:tcMar>
                    <w:top w:w="100" w:type="dxa"/>
                    <w:left w:w="160" w:type="dxa"/>
                    <w:bottom w:w="100" w:type="dxa"/>
                    <w:right w:w="0" w:type="dxa"/>
                  </w:tcMar>
                  <w:vAlign w:val="center"/>
                </w:tcPr>
                <w:p w14:paraId="6517450F">
                  <w:pPr>
                    <w:bidi w:val="0"/>
                    <w:rPr>
                      <w:rFonts w:hint="default"/>
                    </w:rPr>
                  </w:pPr>
                  <w:r>
                    <w:rPr>
                      <w:rFonts w:hint="default"/>
                      <w:lang w:val="en-US" w:eastAsia="zh-CN"/>
                    </w:rPr>
                    <w:t>技术选型、数据库设计、API接口设计、UI/UX设计</w:t>
                  </w:r>
                </w:p>
              </w:tc>
            </w:tr>
            <w:tr w14:paraId="5F2CE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tcMar>
                    <w:top w:w="100" w:type="dxa"/>
                    <w:left w:w="0" w:type="dxa"/>
                    <w:bottom w:w="100" w:type="dxa"/>
                    <w:right w:w="160" w:type="dxa"/>
                  </w:tcMar>
                  <w:vAlign w:val="center"/>
                </w:tcPr>
                <w:p w14:paraId="42C5544E">
                  <w:pPr>
                    <w:bidi w:val="0"/>
                    <w:rPr>
                      <w:rFonts w:hint="default"/>
                    </w:rPr>
                  </w:pPr>
                  <w:r>
                    <w:rPr>
                      <w:rFonts w:hint="default"/>
                      <w:lang w:val="en-US" w:eastAsia="zh-CN"/>
                    </w:rPr>
                    <w:t>3. 核心平台开发</w:t>
                  </w:r>
                </w:p>
              </w:tc>
              <w:tc>
                <w:tcPr>
                  <w:tcW w:w="0" w:type="auto"/>
                  <w:tcBorders>
                    <w:tl2br w:val="nil"/>
                    <w:tr2bl w:val="nil"/>
                  </w:tcBorders>
                  <w:shd w:val="clear"/>
                  <w:tcMar>
                    <w:top w:w="100" w:type="dxa"/>
                    <w:left w:w="160" w:type="dxa"/>
                    <w:bottom w:w="100" w:type="dxa"/>
                    <w:right w:w="160" w:type="dxa"/>
                  </w:tcMar>
                  <w:vAlign w:val="center"/>
                </w:tcPr>
                <w:p w14:paraId="201EF8C7">
                  <w:pPr>
                    <w:bidi w:val="0"/>
                    <w:rPr>
                      <w:rFonts w:hint="default"/>
                    </w:rPr>
                  </w:pPr>
                  <w:r>
                    <w:rPr>
                      <w:rFonts w:hint="default"/>
                      <w:lang w:val="en-US" w:eastAsia="zh-CN"/>
                    </w:rPr>
                    <w:t>5</w:t>
                  </w:r>
                </w:p>
              </w:tc>
              <w:tc>
                <w:tcPr>
                  <w:tcW w:w="0" w:type="auto"/>
                  <w:tcBorders>
                    <w:tl2br w:val="nil"/>
                    <w:tr2bl w:val="nil"/>
                  </w:tcBorders>
                  <w:shd w:val="clear"/>
                  <w:tcMar>
                    <w:top w:w="100" w:type="dxa"/>
                    <w:left w:w="160" w:type="dxa"/>
                    <w:bottom w:w="100" w:type="dxa"/>
                    <w:right w:w="0" w:type="dxa"/>
                  </w:tcMar>
                  <w:vAlign w:val="center"/>
                </w:tcPr>
                <w:p w14:paraId="3F6A20F9">
                  <w:pPr>
                    <w:bidi w:val="0"/>
                    <w:rPr>
                      <w:rFonts w:hint="default"/>
                    </w:rPr>
                  </w:pPr>
                  <w:r>
                    <w:rPr>
                      <w:rFonts w:hint="default"/>
                      <w:lang w:val="en-US" w:eastAsia="zh-CN"/>
                    </w:rPr>
                    <w:t>基础框架、权限、工作流引擎、消息中心、表单/流程设计器</w:t>
                  </w:r>
                </w:p>
              </w:tc>
            </w:tr>
            <w:tr w14:paraId="0F0AA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tcBorders>
                    <w:tl2br w:val="nil"/>
                    <w:tr2bl w:val="nil"/>
                  </w:tcBorders>
                  <w:shd w:val="clear"/>
                  <w:tcMar>
                    <w:top w:w="100" w:type="dxa"/>
                    <w:left w:w="0" w:type="dxa"/>
                    <w:bottom w:w="100" w:type="dxa"/>
                    <w:right w:w="160" w:type="dxa"/>
                  </w:tcMar>
                  <w:vAlign w:val="center"/>
                </w:tcPr>
                <w:p w14:paraId="681B51EA">
                  <w:pPr>
                    <w:bidi w:val="0"/>
                    <w:rPr>
                      <w:rFonts w:hint="default"/>
                    </w:rPr>
                  </w:pPr>
                  <w:r>
                    <w:rPr>
                      <w:rFonts w:hint="default"/>
                      <w:lang w:val="en-US" w:eastAsia="zh-CN"/>
                    </w:rPr>
                    <w:t>4. 业务功能开发</w:t>
                  </w:r>
                </w:p>
              </w:tc>
              <w:tc>
                <w:tcPr>
                  <w:tcW w:w="0" w:type="auto"/>
                  <w:tcBorders>
                    <w:tl2br w:val="nil"/>
                    <w:tr2bl w:val="nil"/>
                  </w:tcBorders>
                  <w:shd w:val="clear"/>
                  <w:tcMar>
                    <w:top w:w="100" w:type="dxa"/>
                    <w:left w:w="160" w:type="dxa"/>
                    <w:bottom w:w="100" w:type="dxa"/>
                    <w:right w:w="160" w:type="dxa"/>
                  </w:tcMar>
                  <w:vAlign w:val="center"/>
                </w:tcPr>
                <w:p w14:paraId="431C0392">
                  <w:pPr>
                    <w:bidi w:val="0"/>
                    <w:rPr>
                      <w:rFonts w:hint="default"/>
                    </w:rPr>
                  </w:pPr>
                  <w:r>
                    <w:rPr>
                      <w:rFonts w:hint="default"/>
                      <w:lang w:val="en-US" w:eastAsia="zh-CN"/>
                    </w:rPr>
                    <w:t>14</w:t>
                  </w:r>
                </w:p>
              </w:tc>
              <w:tc>
                <w:tcPr>
                  <w:tcW w:w="0" w:type="auto"/>
                  <w:tcBorders>
                    <w:tl2br w:val="nil"/>
                    <w:tr2bl w:val="nil"/>
                  </w:tcBorders>
                  <w:shd w:val="clear"/>
                  <w:tcMar>
                    <w:top w:w="100" w:type="dxa"/>
                    <w:left w:w="160" w:type="dxa"/>
                    <w:bottom w:w="100" w:type="dxa"/>
                    <w:right w:w="0" w:type="dxa"/>
                  </w:tcMar>
                  <w:vAlign w:val="center"/>
                </w:tcPr>
                <w:p w14:paraId="6152CCB9">
                  <w:pPr>
                    <w:bidi w:val="0"/>
                    <w:rPr>
                      <w:rFonts w:hint="default"/>
                    </w:rPr>
                  </w:pPr>
                  <w:r>
                    <w:rPr>
                      <w:rFonts w:hint="default"/>
                      <w:lang w:val="en-US" w:eastAsia="zh-CN"/>
                    </w:rPr>
                    <w:t>风险管理、六大业务领域模块、内控评价、报告生成、移动端</w:t>
                  </w:r>
                </w:p>
              </w:tc>
            </w:tr>
            <w:tr w14:paraId="39619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tcMar>
                    <w:top w:w="100" w:type="dxa"/>
                    <w:left w:w="0" w:type="dxa"/>
                    <w:bottom w:w="100" w:type="dxa"/>
                    <w:right w:w="160" w:type="dxa"/>
                  </w:tcMar>
                  <w:vAlign w:val="center"/>
                </w:tcPr>
                <w:p w14:paraId="604AAAE4">
                  <w:pPr>
                    <w:bidi w:val="0"/>
                    <w:rPr>
                      <w:rFonts w:hint="default"/>
                    </w:rPr>
                  </w:pPr>
                  <w:r>
                    <w:rPr>
                      <w:rFonts w:hint="default"/>
                      <w:lang w:val="en-US" w:eastAsia="zh-CN"/>
                    </w:rPr>
                    <w:t>5. 系统集成与测试</w:t>
                  </w:r>
                </w:p>
              </w:tc>
              <w:tc>
                <w:tcPr>
                  <w:tcW w:w="0" w:type="auto"/>
                  <w:tcBorders>
                    <w:tl2br w:val="nil"/>
                    <w:tr2bl w:val="nil"/>
                  </w:tcBorders>
                  <w:shd w:val="clear"/>
                  <w:tcMar>
                    <w:top w:w="100" w:type="dxa"/>
                    <w:left w:w="160" w:type="dxa"/>
                    <w:bottom w:w="100" w:type="dxa"/>
                    <w:right w:w="160" w:type="dxa"/>
                  </w:tcMar>
                  <w:vAlign w:val="center"/>
                </w:tcPr>
                <w:p w14:paraId="0D5265AD">
                  <w:pPr>
                    <w:bidi w:val="0"/>
                    <w:rPr>
                      <w:rFonts w:hint="default"/>
                    </w:rPr>
                  </w:pPr>
                  <w:r>
                    <w:rPr>
                      <w:rFonts w:hint="default"/>
                      <w:lang w:val="en-US" w:eastAsia="zh-CN"/>
                    </w:rPr>
                    <w:t>5</w:t>
                  </w:r>
                </w:p>
              </w:tc>
              <w:tc>
                <w:tcPr>
                  <w:tcW w:w="0" w:type="auto"/>
                  <w:tcBorders>
                    <w:tl2br w:val="nil"/>
                    <w:tr2bl w:val="nil"/>
                  </w:tcBorders>
                  <w:shd w:val="clear"/>
                  <w:tcMar>
                    <w:top w:w="100" w:type="dxa"/>
                    <w:left w:w="160" w:type="dxa"/>
                    <w:bottom w:w="100" w:type="dxa"/>
                    <w:right w:w="0" w:type="dxa"/>
                  </w:tcMar>
                  <w:vAlign w:val="center"/>
                </w:tcPr>
                <w:p w14:paraId="0AF0BF0E">
                  <w:pPr>
                    <w:bidi w:val="0"/>
                    <w:rPr>
                      <w:rFonts w:hint="default"/>
                    </w:rPr>
                  </w:pPr>
                  <w:r>
                    <w:rPr>
                      <w:rFonts w:hint="default"/>
                      <w:lang w:val="en-US" w:eastAsia="zh-CN"/>
                    </w:rPr>
                    <w:t>与多个外部系统对接、单元/集成/系统/UAT测试</w:t>
                  </w:r>
                </w:p>
              </w:tc>
            </w:tr>
            <w:tr w14:paraId="194C6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tcMar>
                    <w:top w:w="100" w:type="dxa"/>
                    <w:left w:w="0" w:type="dxa"/>
                    <w:bottom w:w="100" w:type="dxa"/>
                    <w:right w:w="160" w:type="dxa"/>
                  </w:tcMar>
                  <w:vAlign w:val="center"/>
                </w:tcPr>
                <w:p w14:paraId="75A131A6">
                  <w:pPr>
                    <w:bidi w:val="0"/>
                    <w:rPr>
                      <w:rFonts w:hint="default"/>
                    </w:rPr>
                  </w:pPr>
                  <w:r>
                    <w:rPr>
                      <w:rFonts w:hint="default"/>
                      <w:lang w:val="en-US" w:eastAsia="zh-CN"/>
                    </w:rPr>
                    <w:t>6. 部署、试运行与培训</w:t>
                  </w:r>
                </w:p>
              </w:tc>
              <w:tc>
                <w:tcPr>
                  <w:tcW w:w="0" w:type="auto"/>
                  <w:tcBorders>
                    <w:tl2br w:val="nil"/>
                    <w:tr2bl w:val="nil"/>
                  </w:tcBorders>
                  <w:shd w:val="clear"/>
                  <w:tcMar>
                    <w:top w:w="100" w:type="dxa"/>
                    <w:left w:w="160" w:type="dxa"/>
                    <w:bottom w:w="100" w:type="dxa"/>
                    <w:right w:w="160" w:type="dxa"/>
                  </w:tcMar>
                  <w:vAlign w:val="center"/>
                </w:tcPr>
                <w:p w14:paraId="0EDB8D39">
                  <w:pPr>
                    <w:bidi w:val="0"/>
                    <w:rPr>
                      <w:rFonts w:hint="default"/>
                    </w:rPr>
                  </w:pPr>
                  <w:r>
                    <w:rPr>
                      <w:rFonts w:hint="default"/>
                      <w:lang w:val="en-US" w:eastAsia="zh-CN"/>
                    </w:rPr>
                    <w:t>2.5</w:t>
                  </w:r>
                </w:p>
              </w:tc>
              <w:tc>
                <w:tcPr>
                  <w:tcW w:w="0" w:type="auto"/>
                  <w:tcBorders>
                    <w:tl2br w:val="nil"/>
                    <w:tr2bl w:val="nil"/>
                  </w:tcBorders>
                  <w:shd w:val="clear"/>
                  <w:tcMar>
                    <w:top w:w="100" w:type="dxa"/>
                    <w:left w:w="160" w:type="dxa"/>
                    <w:bottom w:w="100" w:type="dxa"/>
                    <w:right w:w="0" w:type="dxa"/>
                  </w:tcMar>
                  <w:vAlign w:val="center"/>
                </w:tcPr>
                <w:p w14:paraId="62667833">
                  <w:pPr>
                    <w:bidi w:val="0"/>
                    <w:rPr>
                      <w:rFonts w:hint="default"/>
                    </w:rPr>
                  </w:pPr>
                  <w:r>
                    <w:rPr>
                      <w:rFonts w:hint="default"/>
                      <w:lang w:val="en-US" w:eastAsia="zh-CN"/>
                    </w:rPr>
                    <w:t>环境部署、数据初始化、用户培训、试运行支持</w:t>
                  </w:r>
                </w:p>
              </w:tc>
            </w:tr>
            <w:tr w14:paraId="74E36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tcMar>
                    <w:top w:w="100" w:type="dxa"/>
                    <w:left w:w="0" w:type="dxa"/>
                    <w:bottom w:w="100" w:type="dxa"/>
                    <w:right w:w="160" w:type="dxa"/>
                  </w:tcMar>
                  <w:vAlign w:val="center"/>
                </w:tcPr>
                <w:p w14:paraId="3203A636">
                  <w:pPr>
                    <w:bidi w:val="0"/>
                    <w:rPr>
                      <w:rFonts w:hint="default"/>
                    </w:rPr>
                  </w:pPr>
                  <w:r>
                    <w:rPr>
                      <w:rFonts w:hint="default"/>
                      <w:lang w:val="en-US" w:eastAsia="zh-CN"/>
                    </w:rPr>
                    <w:t>7. 等保测评与验收</w:t>
                  </w:r>
                </w:p>
              </w:tc>
              <w:tc>
                <w:tcPr>
                  <w:tcW w:w="0" w:type="auto"/>
                  <w:tcBorders>
                    <w:tl2br w:val="nil"/>
                    <w:tr2bl w:val="nil"/>
                  </w:tcBorders>
                  <w:shd w:val="clear"/>
                  <w:tcMar>
                    <w:top w:w="100" w:type="dxa"/>
                    <w:left w:w="160" w:type="dxa"/>
                    <w:bottom w:w="100" w:type="dxa"/>
                    <w:right w:w="160" w:type="dxa"/>
                  </w:tcMar>
                  <w:vAlign w:val="center"/>
                </w:tcPr>
                <w:p w14:paraId="75BF778F">
                  <w:pPr>
                    <w:bidi w:val="0"/>
                    <w:rPr>
                      <w:rFonts w:hint="default"/>
                    </w:rPr>
                  </w:pPr>
                  <w:r>
                    <w:rPr>
                      <w:rFonts w:hint="default"/>
                      <w:lang w:val="en-US" w:eastAsia="zh-CN"/>
                    </w:rPr>
                    <w:t>1</w:t>
                  </w:r>
                </w:p>
              </w:tc>
              <w:tc>
                <w:tcPr>
                  <w:tcW w:w="0" w:type="auto"/>
                  <w:tcBorders>
                    <w:tl2br w:val="nil"/>
                    <w:tr2bl w:val="nil"/>
                  </w:tcBorders>
                  <w:shd w:val="clear"/>
                  <w:tcMar>
                    <w:top w:w="100" w:type="dxa"/>
                    <w:left w:w="160" w:type="dxa"/>
                    <w:bottom w:w="100" w:type="dxa"/>
                    <w:right w:w="0" w:type="dxa"/>
                  </w:tcMar>
                  <w:vAlign w:val="center"/>
                </w:tcPr>
                <w:p w14:paraId="2096CDAA">
                  <w:pPr>
                    <w:bidi w:val="0"/>
                    <w:rPr>
                      <w:rFonts w:hint="default"/>
                    </w:rPr>
                  </w:pPr>
                  <w:r>
                    <w:rPr>
                      <w:rFonts w:hint="default"/>
                      <w:lang w:val="en-US" w:eastAsia="zh-CN"/>
                    </w:rPr>
                    <w:t>配合完成二级等保测评并整改，项目终验</w:t>
                  </w:r>
                </w:p>
              </w:tc>
            </w:tr>
            <w:tr w14:paraId="63929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tcMar>
                    <w:top w:w="100" w:type="dxa"/>
                    <w:left w:w="0" w:type="dxa"/>
                    <w:bottom w:w="100" w:type="dxa"/>
                    <w:right w:w="160" w:type="dxa"/>
                  </w:tcMar>
                  <w:vAlign w:val="center"/>
                </w:tcPr>
                <w:p w14:paraId="0DB8127E">
                  <w:pPr>
                    <w:bidi w:val="0"/>
                    <w:rPr>
                      <w:rFonts w:hint="default"/>
                    </w:rPr>
                  </w:pPr>
                  <w:r>
                    <w:rPr>
                      <w:rFonts w:hint="default"/>
                      <w:lang w:val="en-US" w:eastAsia="zh-CN"/>
                    </w:rPr>
                    <w:t>8. 项目管理</w:t>
                  </w:r>
                </w:p>
              </w:tc>
              <w:tc>
                <w:tcPr>
                  <w:tcW w:w="0" w:type="auto"/>
                  <w:tcBorders>
                    <w:tl2br w:val="nil"/>
                    <w:tr2bl w:val="nil"/>
                  </w:tcBorders>
                  <w:shd w:val="clear"/>
                  <w:tcMar>
                    <w:top w:w="100" w:type="dxa"/>
                    <w:left w:w="160" w:type="dxa"/>
                    <w:bottom w:w="100" w:type="dxa"/>
                    <w:right w:w="160" w:type="dxa"/>
                  </w:tcMar>
                  <w:vAlign w:val="center"/>
                </w:tcPr>
                <w:p w14:paraId="415FF85C">
                  <w:pPr>
                    <w:bidi w:val="0"/>
                    <w:rPr>
                      <w:rFonts w:hint="default"/>
                    </w:rPr>
                  </w:pPr>
                  <w:r>
                    <w:rPr>
                      <w:rFonts w:hint="default"/>
                      <w:lang w:val="en-US" w:eastAsia="zh-CN"/>
                    </w:rPr>
                    <w:t>4</w:t>
                  </w:r>
                </w:p>
              </w:tc>
              <w:tc>
                <w:tcPr>
                  <w:tcW w:w="0" w:type="auto"/>
                  <w:tcBorders>
                    <w:tl2br w:val="nil"/>
                    <w:tr2bl w:val="nil"/>
                  </w:tcBorders>
                  <w:shd w:val="clear"/>
                  <w:tcMar>
                    <w:top w:w="100" w:type="dxa"/>
                    <w:left w:w="160" w:type="dxa"/>
                    <w:bottom w:w="100" w:type="dxa"/>
                    <w:right w:w="0" w:type="dxa"/>
                  </w:tcMar>
                  <w:vAlign w:val="center"/>
                </w:tcPr>
                <w:p w14:paraId="6D767303">
                  <w:pPr>
                    <w:bidi w:val="0"/>
                    <w:rPr>
                      <w:rFonts w:hint="default"/>
                    </w:rPr>
                  </w:pPr>
                  <w:r>
                    <w:rPr>
                      <w:rFonts w:hint="default"/>
                      <w:lang w:val="en-US" w:eastAsia="zh-CN"/>
                    </w:rPr>
                    <w:t>全程项目管理、沟通、进度与质量监控</w:t>
                  </w:r>
                </w:p>
              </w:tc>
            </w:tr>
            <w:tr w14:paraId="6080E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tcMar>
                    <w:top w:w="100" w:type="dxa"/>
                    <w:left w:w="0" w:type="dxa"/>
                    <w:bottom w:w="100" w:type="dxa"/>
                    <w:right w:w="160" w:type="dxa"/>
                  </w:tcMar>
                  <w:vAlign w:val="center"/>
                </w:tcPr>
                <w:p w14:paraId="4A9DAEAE">
                  <w:pPr>
                    <w:bidi w:val="0"/>
                    <w:rPr>
                      <w:rFonts w:hint="default"/>
                    </w:rPr>
                  </w:pPr>
                  <w:r>
                    <w:rPr>
                      <w:rFonts w:hint="default"/>
                      <w:lang w:val="en-US" w:eastAsia="zh-CN"/>
                    </w:rPr>
                    <w:t>开发与实施总工作量</w:t>
                  </w:r>
                </w:p>
              </w:tc>
              <w:tc>
                <w:tcPr>
                  <w:tcW w:w="0" w:type="auto"/>
                  <w:tcBorders>
                    <w:tl2br w:val="nil"/>
                    <w:tr2bl w:val="nil"/>
                  </w:tcBorders>
                  <w:shd w:val="clear"/>
                  <w:tcMar>
                    <w:top w:w="100" w:type="dxa"/>
                    <w:left w:w="160" w:type="dxa"/>
                    <w:bottom w:w="100" w:type="dxa"/>
                    <w:right w:w="160" w:type="dxa"/>
                  </w:tcMar>
                  <w:vAlign w:val="center"/>
                </w:tcPr>
                <w:p w14:paraId="69B0A177">
                  <w:pPr>
                    <w:bidi w:val="0"/>
                    <w:rPr>
                      <w:rFonts w:hint="default"/>
                    </w:rPr>
                  </w:pPr>
                  <w:r>
                    <w:rPr>
                      <w:rFonts w:hint="default"/>
                      <w:lang w:val="en-US" w:eastAsia="zh-CN"/>
                    </w:rPr>
                    <w:t>39 人月</w:t>
                  </w:r>
                </w:p>
              </w:tc>
              <w:tc>
                <w:tcPr>
                  <w:tcW w:w="0" w:type="auto"/>
                  <w:tcBorders>
                    <w:tl2br w:val="nil"/>
                    <w:tr2bl w:val="nil"/>
                  </w:tcBorders>
                  <w:shd w:val="clear"/>
                  <w:tcMar>
                    <w:top w:w="100" w:type="dxa"/>
                    <w:left w:w="160" w:type="dxa"/>
                    <w:bottom w:w="100" w:type="dxa"/>
                    <w:right w:w="0" w:type="dxa"/>
                  </w:tcMar>
                  <w:vAlign w:val="center"/>
                </w:tcPr>
                <w:p w14:paraId="09678129">
                  <w:pPr>
                    <w:bidi w:val="0"/>
                    <w:rPr>
                      <w:rFonts w:hint="default"/>
                    </w:rPr>
                  </w:pPr>
                </w:p>
              </w:tc>
            </w:tr>
          </w:tbl>
          <w:p w14:paraId="1689A54C">
            <w:pPr>
              <w:bidi w:val="0"/>
              <w:rPr>
                <w:rFonts w:hint="default"/>
              </w:rPr>
            </w:pPr>
            <w:r>
              <w:rPr>
                <w:rFonts w:hint="default"/>
              </w:rPr>
              <w:t>b) 成本估算</w:t>
            </w:r>
          </w:p>
          <w:p w14:paraId="641B0A16">
            <w:pPr>
              <w:bidi w:val="0"/>
            </w:pPr>
            <w:r>
              <w:rPr>
                <w:rFonts w:hint="default"/>
              </w:rPr>
              <w:t>开发与实施人力成本： 39人月 × 28,000元/人月 = 1,092,000元。</w:t>
            </w:r>
          </w:p>
          <w:p w14:paraId="6D1AB08F">
            <w:pPr>
              <w:bidi w:val="0"/>
            </w:pPr>
            <w:r>
              <w:rPr>
                <w:rFonts w:hint="default"/>
              </w:rPr>
              <w:t>非人力成本：</w:t>
            </w:r>
          </w:p>
          <w:p w14:paraId="51BF5CA6">
            <w:pPr>
              <w:bidi w:val="0"/>
            </w:pPr>
            <w:r>
              <w:rPr>
                <w:rFonts w:hint="default"/>
              </w:rPr>
              <w:t>等保测评费用： 150,000元 (招标文件要求供应商承担)。</w:t>
            </w:r>
          </w:p>
          <w:p w14:paraId="57017723">
            <w:pPr>
              <w:bidi w:val="0"/>
            </w:pPr>
            <w:r>
              <w:rPr>
                <w:rFonts w:hint="default"/>
              </w:rPr>
              <w:t>一年免费驻场运维（1人）： 180,000元 (估算)。</w:t>
            </w:r>
          </w:p>
          <w:p w14:paraId="57A95021">
            <w:pPr>
              <w:bidi w:val="0"/>
            </w:pPr>
            <w:r>
              <w:rPr>
                <w:rFonts w:hint="default"/>
              </w:rPr>
              <w:t>硬件/网络/第三方软件许可： 150,000元 (估算)。</w:t>
            </w:r>
          </w:p>
          <w:p w14:paraId="7E7792EB">
            <w:pPr>
              <w:bidi w:val="0"/>
            </w:pPr>
            <w:r>
              <w:rPr>
                <w:rFonts w:hint="default"/>
              </w:rPr>
              <w:t>合计非人力成本：480,000元。</w:t>
            </w:r>
          </w:p>
          <w:p w14:paraId="6416D8E0">
            <w:pPr>
              <w:bidi w:val="0"/>
            </w:pPr>
            <w:r>
              <w:rPr>
                <w:rFonts w:hint="default"/>
              </w:rPr>
              <w:t>自下而上法总成本 = 人力成本 + 非人力成本 = 1,092,000 + 480,000 = 1,572,000元。</w:t>
            </w:r>
          </w:p>
          <w:p w14:paraId="666C1F4B">
            <w:pPr>
              <w:bidi w:val="0"/>
              <w:rPr>
                <w:rFonts w:hint="default"/>
              </w:rPr>
            </w:pPr>
          </w:p>
          <w:p w14:paraId="576F7E88">
            <w:pPr>
              <w:bidi w:val="0"/>
              <w:rPr>
                <w:rFonts w:hint="default"/>
              </w:rPr>
            </w:pPr>
            <w:r>
              <w:rPr>
                <w:rFonts w:hint="default"/>
              </w:rPr>
              <w:t>三、 实验结果与成本计划</w:t>
            </w:r>
          </w:p>
          <w:p w14:paraId="2E5F07E4">
            <w:pPr>
              <w:bidi w:val="0"/>
              <w:rPr>
                <w:rFonts w:hint="default"/>
              </w:rPr>
            </w:pPr>
            <w:r>
              <w:rPr>
                <w:rFonts w:hint="default"/>
              </w:rPr>
              <w:t>3.1 估算结果汇总与调和</w:t>
            </w:r>
          </w:p>
          <w:tbl>
            <w:tblPr>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635"/>
              <w:gridCol w:w="2000"/>
              <w:gridCol w:w="2996"/>
            </w:tblGrid>
            <w:tr w14:paraId="7253B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rPr>
              <w:tc>
                <w:tcPr>
                  <w:tcW w:w="0" w:type="auto"/>
                  <w:tcBorders>
                    <w:tl2br w:val="nil"/>
                    <w:tr2bl w:val="nil"/>
                  </w:tcBorders>
                  <w:shd w:val="clear"/>
                  <w:tcMar>
                    <w:top w:w="100" w:type="dxa"/>
                    <w:left w:w="0" w:type="dxa"/>
                    <w:bottom w:w="100" w:type="dxa"/>
                    <w:right w:w="160" w:type="dxa"/>
                  </w:tcMar>
                  <w:vAlign w:val="center"/>
                </w:tcPr>
                <w:p w14:paraId="1ECCDF87">
                  <w:pPr>
                    <w:bidi w:val="0"/>
                    <w:rPr>
                      <w:rFonts w:hint="default"/>
                    </w:rPr>
                  </w:pPr>
                  <w:r>
                    <w:rPr>
                      <w:rFonts w:hint="default"/>
                      <w:lang w:val="en-US" w:eastAsia="zh-CN"/>
                    </w:rPr>
                    <w:t>估算方法</w:t>
                  </w:r>
                </w:p>
              </w:tc>
              <w:tc>
                <w:tcPr>
                  <w:tcW w:w="0" w:type="auto"/>
                  <w:tcBorders>
                    <w:tl2br w:val="nil"/>
                    <w:tr2bl w:val="nil"/>
                  </w:tcBorders>
                  <w:shd w:val="clear"/>
                  <w:tcMar>
                    <w:top w:w="100" w:type="dxa"/>
                    <w:left w:w="160" w:type="dxa"/>
                    <w:bottom w:w="100" w:type="dxa"/>
                    <w:right w:w="160" w:type="dxa"/>
                  </w:tcMar>
                  <w:vAlign w:val="center"/>
                </w:tcPr>
                <w:p w14:paraId="14F8C855">
                  <w:pPr>
                    <w:bidi w:val="0"/>
                    <w:rPr>
                      <w:rFonts w:hint="default"/>
                    </w:rPr>
                  </w:pPr>
                  <w:r>
                    <w:rPr>
                      <w:rFonts w:hint="default"/>
                      <w:lang w:val="en-US" w:eastAsia="zh-CN"/>
                    </w:rPr>
                    <w:t>估算总成本（元）</w:t>
                  </w:r>
                </w:p>
              </w:tc>
              <w:tc>
                <w:tcPr>
                  <w:tcW w:w="0" w:type="auto"/>
                  <w:tcBorders>
                    <w:tl2br w:val="nil"/>
                    <w:tr2bl w:val="nil"/>
                  </w:tcBorders>
                  <w:shd w:val="clear"/>
                  <w:tcMar>
                    <w:top w:w="100" w:type="dxa"/>
                    <w:left w:w="160" w:type="dxa"/>
                    <w:bottom w:w="100" w:type="dxa"/>
                    <w:right w:w="160" w:type="dxa"/>
                  </w:tcMar>
                  <w:vAlign w:val="center"/>
                </w:tcPr>
                <w:p w14:paraId="61C3EFF6">
                  <w:pPr>
                    <w:bidi w:val="0"/>
                    <w:rPr>
                      <w:rFonts w:hint="default"/>
                    </w:rPr>
                  </w:pPr>
                  <w:r>
                    <w:rPr>
                      <w:rFonts w:hint="default"/>
                      <w:lang w:val="en-US" w:eastAsia="zh-CN"/>
                    </w:rPr>
                    <w:t>备注</w:t>
                  </w:r>
                </w:p>
              </w:tc>
            </w:tr>
            <w:tr w14:paraId="45C28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tcMar>
                    <w:top w:w="100" w:type="dxa"/>
                    <w:left w:w="0" w:type="dxa"/>
                    <w:bottom w:w="100" w:type="dxa"/>
                    <w:right w:w="160" w:type="dxa"/>
                  </w:tcMar>
                  <w:vAlign w:val="center"/>
                </w:tcPr>
                <w:p w14:paraId="27AC59B8">
                  <w:pPr>
                    <w:bidi w:val="0"/>
                    <w:rPr>
                      <w:rFonts w:hint="default"/>
                    </w:rPr>
                  </w:pPr>
                  <w:r>
                    <w:rPr>
                      <w:rFonts w:hint="default"/>
                      <w:lang w:val="en-US" w:eastAsia="zh-CN"/>
                    </w:rPr>
                    <w:t>功能点估算法</w:t>
                  </w:r>
                </w:p>
              </w:tc>
              <w:tc>
                <w:tcPr>
                  <w:tcW w:w="0" w:type="auto"/>
                  <w:tcBorders>
                    <w:tl2br w:val="nil"/>
                    <w:tr2bl w:val="nil"/>
                  </w:tcBorders>
                  <w:shd w:val="clear"/>
                  <w:tcMar>
                    <w:top w:w="100" w:type="dxa"/>
                    <w:left w:w="160" w:type="dxa"/>
                    <w:bottom w:w="100" w:type="dxa"/>
                    <w:right w:w="160" w:type="dxa"/>
                  </w:tcMar>
                  <w:vAlign w:val="center"/>
                </w:tcPr>
                <w:p w14:paraId="00745AFE">
                  <w:pPr>
                    <w:bidi w:val="0"/>
                    <w:rPr>
                      <w:rFonts w:hint="default"/>
                    </w:rPr>
                  </w:pPr>
                  <w:r>
                    <w:rPr>
                      <w:rFonts w:hint="default"/>
                      <w:lang w:val="en-US" w:eastAsia="zh-CN"/>
                    </w:rPr>
                    <w:t xml:space="preserve">约 </w:t>
                  </w:r>
                  <w:r>
                    <w:rPr>
                      <w:rFonts w:hint="eastAsia"/>
                      <w:lang w:val="en-US" w:eastAsia="zh-CN"/>
                    </w:rPr>
                    <w:t>1,258,400</w:t>
                  </w:r>
                </w:p>
              </w:tc>
              <w:tc>
                <w:tcPr>
                  <w:tcW w:w="0" w:type="auto"/>
                  <w:tcBorders>
                    <w:tl2br w:val="nil"/>
                    <w:tr2bl w:val="nil"/>
                  </w:tcBorders>
                  <w:shd w:val="clear"/>
                  <w:tcMar>
                    <w:top w:w="100" w:type="dxa"/>
                    <w:left w:w="160" w:type="dxa"/>
                    <w:bottom w:w="100" w:type="dxa"/>
                    <w:right w:w="0" w:type="dxa"/>
                  </w:tcMar>
                  <w:vAlign w:val="center"/>
                </w:tcPr>
                <w:p w14:paraId="31EA8B18">
                  <w:pPr>
                    <w:bidi w:val="0"/>
                    <w:rPr>
                      <w:rFonts w:hint="default"/>
                    </w:rPr>
                  </w:pPr>
                  <w:r>
                    <w:rPr>
                      <w:rFonts w:hint="default"/>
                      <w:lang w:val="en-US" w:eastAsia="zh-CN"/>
                    </w:rPr>
                    <w:t>(开发</w:t>
                  </w:r>
                  <w:r>
                    <w:rPr>
                      <w:rFonts w:hint="eastAsia"/>
                      <w:lang w:val="en-US" w:eastAsia="zh-CN"/>
                    </w:rPr>
                    <w:t>77.8</w:t>
                  </w:r>
                  <w:r>
                    <w:rPr>
                      <w:rFonts w:hint="default"/>
                      <w:lang w:val="en-US" w:eastAsia="zh-CN"/>
                    </w:rPr>
                    <w:t>万 + 非人力48万)</w:t>
                  </w:r>
                </w:p>
              </w:tc>
            </w:tr>
            <w:tr w14:paraId="43CB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tcBorders>
                    <w:tl2br w:val="nil"/>
                    <w:tr2bl w:val="nil"/>
                  </w:tcBorders>
                  <w:shd w:val="clear"/>
                  <w:tcMar>
                    <w:top w:w="100" w:type="dxa"/>
                    <w:left w:w="0" w:type="dxa"/>
                    <w:bottom w:w="100" w:type="dxa"/>
                    <w:right w:w="160" w:type="dxa"/>
                  </w:tcMar>
                  <w:vAlign w:val="center"/>
                </w:tcPr>
                <w:p w14:paraId="030E11C8">
                  <w:pPr>
                    <w:bidi w:val="0"/>
                    <w:rPr>
                      <w:rFonts w:hint="default"/>
                    </w:rPr>
                  </w:pPr>
                  <w:r>
                    <w:rPr>
                      <w:rFonts w:hint="default"/>
                      <w:lang w:val="en-US" w:eastAsia="zh-CN"/>
                    </w:rPr>
                    <w:t>自下而上估算法</w:t>
                  </w:r>
                </w:p>
              </w:tc>
              <w:tc>
                <w:tcPr>
                  <w:tcW w:w="0" w:type="auto"/>
                  <w:tcBorders>
                    <w:tl2br w:val="nil"/>
                    <w:tr2bl w:val="nil"/>
                  </w:tcBorders>
                  <w:shd w:val="clear"/>
                  <w:tcMar>
                    <w:top w:w="100" w:type="dxa"/>
                    <w:left w:w="160" w:type="dxa"/>
                    <w:bottom w:w="100" w:type="dxa"/>
                    <w:right w:w="160" w:type="dxa"/>
                  </w:tcMar>
                  <w:vAlign w:val="center"/>
                </w:tcPr>
                <w:p w14:paraId="086F8689">
                  <w:pPr>
                    <w:bidi w:val="0"/>
                    <w:rPr>
                      <w:rFonts w:hint="default"/>
                    </w:rPr>
                  </w:pPr>
                  <w:r>
                    <w:rPr>
                      <w:rFonts w:hint="default"/>
                      <w:lang w:val="en-US" w:eastAsia="zh-CN"/>
                    </w:rPr>
                    <w:t>约 1,572,000</w:t>
                  </w:r>
                </w:p>
              </w:tc>
              <w:tc>
                <w:tcPr>
                  <w:tcW w:w="0" w:type="auto"/>
                  <w:tcBorders>
                    <w:tl2br w:val="nil"/>
                    <w:tr2bl w:val="nil"/>
                  </w:tcBorders>
                  <w:shd w:val="clear"/>
                  <w:tcMar>
                    <w:top w:w="100" w:type="dxa"/>
                    <w:left w:w="160" w:type="dxa"/>
                    <w:bottom w:w="100" w:type="dxa"/>
                    <w:right w:w="0" w:type="dxa"/>
                  </w:tcMar>
                  <w:vAlign w:val="center"/>
                </w:tcPr>
                <w:p w14:paraId="6F09B230">
                  <w:pPr>
                    <w:bidi w:val="0"/>
                    <w:rPr>
                      <w:rFonts w:hint="default"/>
                    </w:rPr>
                  </w:pPr>
                  <w:r>
                    <w:rPr>
                      <w:rFonts w:hint="default"/>
                      <w:lang w:val="en-US" w:eastAsia="zh-CN"/>
                    </w:rPr>
                    <w:t>(开发109.2万 + 非人力48万)</w:t>
                  </w:r>
                </w:p>
              </w:tc>
            </w:tr>
            <w:tr w14:paraId="4347F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tcBorders>
                    <w:tl2br w:val="nil"/>
                    <w:tr2bl w:val="nil"/>
                  </w:tcBorders>
                  <w:shd w:val="clear"/>
                  <w:tcMar>
                    <w:top w:w="100" w:type="dxa"/>
                    <w:left w:w="0" w:type="dxa"/>
                    <w:bottom w:w="100" w:type="dxa"/>
                    <w:right w:w="160" w:type="dxa"/>
                  </w:tcMar>
                  <w:vAlign w:val="center"/>
                </w:tcPr>
                <w:p w14:paraId="6A8CE310">
                  <w:pPr>
                    <w:bidi w:val="0"/>
                    <w:rPr>
                      <w:rFonts w:hint="default"/>
                    </w:rPr>
                  </w:pPr>
                  <w:r>
                    <w:rPr>
                      <w:rFonts w:hint="default"/>
                      <w:lang w:val="en-US" w:eastAsia="zh-CN"/>
                    </w:rPr>
                    <w:t>项目预算</w:t>
                  </w:r>
                </w:p>
              </w:tc>
              <w:tc>
                <w:tcPr>
                  <w:tcW w:w="0" w:type="auto"/>
                  <w:tcBorders>
                    <w:tl2br w:val="nil"/>
                    <w:tr2bl w:val="nil"/>
                  </w:tcBorders>
                  <w:shd w:val="clear"/>
                  <w:tcMar>
                    <w:top w:w="100" w:type="dxa"/>
                    <w:left w:w="160" w:type="dxa"/>
                    <w:bottom w:w="100" w:type="dxa"/>
                    <w:right w:w="160" w:type="dxa"/>
                  </w:tcMar>
                  <w:vAlign w:val="center"/>
                </w:tcPr>
                <w:p w14:paraId="19325E63">
                  <w:pPr>
                    <w:bidi w:val="0"/>
                    <w:rPr>
                      <w:rFonts w:hint="default"/>
                    </w:rPr>
                  </w:pPr>
                  <w:r>
                    <w:rPr>
                      <w:rFonts w:hint="default"/>
                      <w:lang w:val="en-US" w:eastAsia="zh-CN"/>
                    </w:rPr>
                    <w:t>1,500,000</w:t>
                  </w:r>
                </w:p>
              </w:tc>
              <w:tc>
                <w:tcPr>
                  <w:tcW w:w="0" w:type="auto"/>
                  <w:tcBorders>
                    <w:tl2br w:val="nil"/>
                    <w:tr2bl w:val="nil"/>
                  </w:tcBorders>
                  <w:shd w:val="clear"/>
                  <w:tcMar>
                    <w:top w:w="100" w:type="dxa"/>
                    <w:left w:w="160" w:type="dxa"/>
                    <w:bottom w:w="100" w:type="dxa"/>
                    <w:right w:w="0" w:type="dxa"/>
                  </w:tcMar>
                  <w:vAlign w:val="center"/>
                </w:tcPr>
                <w:p w14:paraId="45331E20">
                  <w:pPr>
                    <w:bidi w:val="0"/>
                    <w:rPr>
                      <w:rFonts w:hint="default"/>
                    </w:rPr>
                  </w:pPr>
                </w:p>
              </w:tc>
            </w:tr>
          </w:tbl>
          <w:p w14:paraId="2643548E">
            <w:pPr>
              <w:bidi w:val="0"/>
              <w:rPr>
                <w:rFonts w:hint="default"/>
              </w:rPr>
            </w:pPr>
            <w:r>
              <w:rPr>
                <w:rFonts w:hint="default"/>
              </w:rPr>
              <w:t>结果分析：</w:t>
            </w:r>
          </w:p>
          <w:p w14:paraId="74667019">
            <w:pPr>
              <w:bidi w:val="0"/>
            </w:pPr>
            <w:r>
              <w:rPr>
                <w:rFonts w:hint="eastAsia"/>
                <w:lang w:val="en-US" w:eastAsia="zh-CN"/>
              </w:rPr>
              <w:t>两</w:t>
            </w:r>
            <w:r>
              <w:rPr>
                <w:rFonts w:hint="default"/>
              </w:rPr>
              <w:t>种方法结果存在差异，这在实际估算中是正常现象。</w:t>
            </w:r>
          </w:p>
          <w:p w14:paraId="7CF01411">
            <w:pPr>
              <w:bidi w:val="0"/>
            </w:pPr>
            <w:r>
              <w:rPr>
                <w:rFonts w:hint="default"/>
              </w:rPr>
              <w:t>自下而上法的估算最高，因为它更细致地考虑了系统集成、多系统对接、复杂测试和高强度项目管理的工作量，这些在功能点法中可能未被完全体现。</w:t>
            </w:r>
          </w:p>
          <w:p w14:paraId="5F676E2E">
            <w:pPr>
              <w:bidi w:val="0"/>
            </w:pPr>
            <w:r>
              <w:rPr>
                <w:rFonts w:hint="default"/>
              </w:rPr>
              <w:t>功能点法的结果更侧重于核心功能的开发。</w:t>
            </w:r>
          </w:p>
          <w:p w14:paraId="0FB83AB0">
            <w:pPr>
              <w:bidi w:val="0"/>
            </w:pPr>
            <w:r>
              <w:rPr>
                <w:rFonts w:hint="default"/>
              </w:rPr>
              <w:t>考虑到本项目集成复杂度高、需驻场开发、且有明确的等保测评要求，自下而上法的估算（157.2万元）更贴近项目的真实成本压力。</w:t>
            </w:r>
          </w:p>
          <w:p w14:paraId="30E6D32A">
            <w:pPr>
              <w:bidi w:val="0"/>
              <w:rPr>
                <w:rFonts w:hint="default"/>
              </w:rPr>
            </w:pPr>
            <w:r>
              <w:rPr>
                <w:rFonts w:hint="default"/>
              </w:rPr>
              <w:t>3.2 最终成本计划</w:t>
            </w:r>
          </w:p>
          <w:p w14:paraId="485C0CCB">
            <w:pPr>
              <w:bidi w:val="0"/>
            </w:pPr>
            <w:r>
              <w:rPr>
                <w:rFonts w:hint="default"/>
              </w:rPr>
              <w:t>成本基准： 建议以自下而上法的估算结果1,572,000元作为成本计划的基准。这与项目预算1,500,000元极为接近，差额部分（7.2万元）可通过优化内部管理或略微调整非人力成本来消化。</w:t>
            </w:r>
          </w:p>
          <w:p w14:paraId="0A8B37C4">
            <w:pPr>
              <w:bidi w:val="0"/>
              <w:rPr>
                <w:rFonts w:hint="default"/>
              </w:rPr>
            </w:pPr>
            <w:r>
              <w:rPr>
                <w:rFonts w:hint="default"/>
              </w:rPr>
              <w:t>成本构成：</w:t>
            </w:r>
          </w:p>
          <w:p w14:paraId="563A5E12">
            <w:pPr>
              <w:bidi w:val="0"/>
            </w:pPr>
            <w:r>
              <w:rPr>
                <w:rFonts w:hint="default"/>
              </w:rPr>
              <w:t>直接人力成本： 1,092,000元 (69.5%)</w:t>
            </w:r>
          </w:p>
          <w:p w14:paraId="3119889C">
            <w:pPr>
              <w:bidi w:val="0"/>
            </w:pPr>
            <w:r>
              <w:rPr>
                <w:rFonts w:hint="default"/>
              </w:rPr>
              <w:t>非人力成本： 480,000元 (30.5%)</w:t>
            </w:r>
          </w:p>
          <w:p w14:paraId="54E22C32">
            <w:pPr>
              <w:bidi w:val="0"/>
            </w:pPr>
            <w:r>
              <w:rPr>
                <w:rFonts w:hint="default"/>
              </w:rPr>
              <w:t>等保测评：150,000元</w:t>
            </w:r>
          </w:p>
          <w:p w14:paraId="4FE7E0A7">
            <w:pPr>
              <w:bidi w:val="0"/>
            </w:pPr>
            <w:r>
              <w:rPr>
                <w:rFonts w:hint="default"/>
              </w:rPr>
              <w:t>驻场运维（一年）：180,000元</w:t>
            </w:r>
          </w:p>
          <w:p w14:paraId="27EE16B7">
            <w:pPr>
              <w:bidi w:val="0"/>
            </w:pPr>
            <w:r>
              <w:rPr>
                <w:rFonts w:hint="default"/>
              </w:rPr>
              <w:t>硬件/软件：150,000元</w:t>
            </w:r>
          </w:p>
          <w:p w14:paraId="79F0410E">
            <w:pPr>
              <w:bidi w:val="0"/>
            </w:pPr>
            <w:r>
              <w:rPr>
                <w:rFonts w:hint="default"/>
              </w:rPr>
              <w:t>应急储备： 为应对需求变更、技术风险与集成不确定性，建议设置10%的应急储备金，即 150,000元。这部分资金不包含在基准成本中，用于应对未知风险。</w:t>
            </w:r>
          </w:p>
          <w:p w14:paraId="5E5854FB">
            <w:pPr>
              <w:bidi w:val="0"/>
            </w:pPr>
            <w:r>
              <w:rPr>
                <w:rFonts w:hint="default"/>
              </w:rPr>
              <w:t>总资金需求： 成本基准（1,572,000元）+ 应急储备（150,000元）= 1,722,000元。</w:t>
            </w:r>
          </w:p>
          <w:p w14:paraId="0ABC51CF">
            <w:pPr>
              <w:jc w:val="left"/>
              <w:rPr>
                <w:szCs w:val="21"/>
              </w:rPr>
            </w:pPr>
          </w:p>
        </w:tc>
      </w:tr>
      <w:tr w14:paraId="02835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6"/>
            <w:tcBorders>
              <w:bottom w:val="nil"/>
            </w:tcBorders>
          </w:tcPr>
          <w:p w14:paraId="1A1576EA">
            <w:pPr>
              <w:jc w:val="left"/>
              <w:rPr>
                <w:szCs w:val="21"/>
              </w:rPr>
            </w:pPr>
            <w:r>
              <w:rPr>
                <w:rFonts w:hint="eastAsia"/>
                <w:szCs w:val="21"/>
              </w:rPr>
              <w:t>四、实验总结</w:t>
            </w:r>
          </w:p>
        </w:tc>
      </w:tr>
      <w:tr w14:paraId="74787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6"/>
            <w:tcBorders>
              <w:top w:val="nil"/>
            </w:tcBorders>
          </w:tcPr>
          <w:p w14:paraId="42C85C70">
            <w:pPr>
              <w:numPr>
                <w:numId w:val="0"/>
              </w:numPr>
              <w:bidi w:val="0"/>
            </w:pPr>
          </w:p>
          <w:p w14:paraId="7F6F6762">
            <w:pPr>
              <w:numPr>
                <w:numId w:val="0"/>
              </w:numPr>
              <w:bidi w:val="0"/>
            </w:pPr>
            <w:r>
              <w:t>方法适用性：</w:t>
            </w:r>
            <w:r>
              <w:rPr>
                <w:rFonts w:hint="default"/>
              </w:rPr>
              <w:t> 本实验成功运用了功能点法和自下而上法对一个真实项目进行了成本估算。功能点法在需求明确时能提供客观的规模基准；自下而上法则能揭示项目全生命周期的工作细节，两者结合使用，可以有效交叉验证，提高估算准确性。</w:t>
            </w:r>
          </w:p>
          <w:p w14:paraId="7D7F0F78">
            <w:pPr>
              <w:numPr>
                <w:numId w:val="0"/>
              </w:numPr>
              <w:bidi w:val="0"/>
            </w:pPr>
            <w:r>
              <w:rPr>
                <w:rFonts w:hint="default"/>
              </w:rPr>
              <w:t>估算的不确定性： 软件成本估算本质是不精确的科学。本项目的最大风险点在于与多个现有系统的集成，其接口的稳定性和数据的规范性将极大影响实际工作量。此外，采购方需求的潜在变更也是主要成本风险。</w:t>
            </w:r>
          </w:p>
          <w:p w14:paraId="0450E433">
            <w:pPr>
              <w:numPr>
                <w:numId w:val="0"/>
              </w:numPr>
              <w:bidi w:val="0"/>
            </w:pPr>
            <w:r>
              <w:rPr>
                <w:rFonts w:hint="default"/>
              </w:rPr>
              <w:t>与预算的匹配： 通过科学的估算过程，我们发现项目预算1,500,000元是合理且紧凑的。它基本覆盖了项目的核心成本，但为应对风险，承建方必须申请或自备一定的管理储备，并实施严格的范围变更控制。</w:t>
            </w:r>
          </w:p>
          <w:p w14:paraId="3B63B79B">
            <w:pPr>
              <w:numPr>
                <w:numId w:val="0"/>
              </w:numPr>
              <w:bidi w:val="0"/>
              <w:rPr>
                <w:rFonts w:hint="default"/>
              </w:rPr>
            </w:pPr>
            <w:r>
              <w:rPr>
                <w:rFonts w:hint="default"/>
              </w:rPr>
              <w:t>实践意义： 本次实验表明，在项目早期进行结构化、多方法的成本估算，对于投标决策、项目规划与风险识别至关重要。它不仅能回答“项目要花多少钱”，更能清晰地揭示“钱主要花在什么地方”，为后续的项目管理和控制奠定坚实基础。</w:t>
            </w:r>
          </w:p>
          <w:p w14:paraId="5D327DAF">
            <w:pPr>
              <w:numPr>
                <w:numId w:val="0"/>
              </w:numPr>
              <w:bidi w:val="0"/>
              <w:rPr>
                <w:rFonts w:hint="default" w:eastAsia="宋体"/>
                <w:lang w:val="en-US" w:eastAsia="zh-CN"/>
              </w:rPr>
            </w:pPr>
            <w:r>
              <w:rPr>
                <w:rFonts w:hint="eastAsia"/>
                <w:lang w:val="en-US" w:eastAsia="zh-CN"/>
              </w:rPr>
              <w:t>在实验的过程中，我们也学会看定级表和定级取值表，让我们</w:t>
            </w:r>
            <w:bookmarkStart w:id="0" w:name="_GoBack"/>
            <w:bookmarkEnd w:id="0"/>
            <w:r>
              <w:rPr>
                <w:rFonts w:hint="eastAsia"/>
                <w:lang w:val="en-US" w:eastAsia="zh-CN"/>
              </w:rPr>
              <w:t>在课堂没弄懂的知识搞懂。</w:t>
            </w:r>
          </w:p>
        </w:tc>
      </w:tr>
    </w:tbl>
    <w:p w14:paraId="0C385CFA">
      <w:pPr>
        <w:ind w:firstLine="434" w:firstLineChars="207"/>
        <w:jc w:val="left"/>
      </w:pPr>
    </w:p>
    <w:p w14:paraId="151F29B2">
      <w:pPr>
        <w:ind w:firstLine="434" w:firstLineChars="207"/>
        <w:jc w:val="left"/>
        <w:rPr>
          <w:szCs w:val="21"/>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docVars>
    <w:docVar w:name="__Grammarly_42____i" w:val="H4sIAAAAAAAEAKtWckksSQxILCpxzi/NK1GyMqwFAAEhoTITAAAA"/>
    <w:docVar w:name="__Grammarly_42___1" w:val="H4sIAAAAAAAEAKtWcslP9kxRslIyNDY2NTM1NDOxMDA3tDQ0NjJQ0lEKTi0uzszPAykwrAUA3YPlESwAAAA="/>
    <w:docVar w:name="commondata" w:val="eyJoZGlkIjoiOGUxMGNmNTU4ODU3YTI2OTQzZDY3NGRlYzhmMTkxNWIifQ=="/>
  </w:docVars>
  <w:rsids>
    <w:rsidRoot w:val="0006400D"/>
    <w:rsid w:val="00002E69"/>
    <w:rsid w:val="0006400D"/>
    <w:rsid w:val="000A6E3A"/>
    <w:rsid w:val="000B1F8E"/>
    <w:rsid w:val="000C75DB"/>
    <w:rsid w:val="000F6339"/>
    <w:rsid w:val="00136B19"/>
    <w:rsid w:val="00334C8D"/>
    <w:rsid w:val="00424538"/>
    <w:rsid w:val="004B6317"/>
    <w:rsid w:val="004D46F2"/>
    <w:rsid w:val="0054724D"/>
    <w:rsid w:val="0055279E"/>
    <w:rsid w:val="00593FF2"/>
    <w:rsid w:val="00667D15"/>
    <w:rsid w:val="00676FCD"/>
    <w:rsid w:val="00691679"/>
    <w:rsid w:val="0077258C"/>
    <w:rsid w:val="007831DB"/>
    <w:rsid w:val="007D0127"/>
    <w:rsid w:val="007D4B1D"/>
    <w:rsid w:val="00802F86"/>
    <w:rsid w:val="00825A09"/>
    <w:rsid w:val="008B15C2"/>
    <w:rsid w:val="00953679"/>
    <w:rsid w:val="00981D63"/>
    <w:rsid w:val="009C4046"/>
    <w:rsid w:val="009C40F0"/>
    <w:rsid w:val="009F70F3"/>
    <w:rsid w:val="00B63C8B"/>
    <w:rsid w:val="00B7105E"/>
    <w:rsid w:val="00C27E0B"/>
    <w:rsid w:val="00CC414C"/>
    <w:rsid w:val="00CF72B6"/>
    <w:rsid w:val="00EB4DB3"/>
    <w:rsid w:val="00F035AA"/>
    <w:rsid w:val="00F433AA"/>
    <w:rsid w:val="00F57DE8"/>
    <w:rsid w:val="00FD1024"/>
    <w:rsid w:val="00FE4E5E"/>
    <w:rsid w:val="096E3880"/>
    <w:rsid w:val="0B8D2240"/>
    <w:rsid w:val="1D1D719C"/>
    <w:rsid w:val="205B3F6B"/>
    <w:rsid w:val="267123B9"/>
    <w:rsid w:val="29F85DF7"/>
    <w:rsid w:val="2AB253C7"/>
    <w:rsid w:val="3034257F"/>
    <w:rsid w:val="3C7937F2"/>
    <w:rsid w:val="44F074C0"/>
    <w:rsid w:val="54A2797E"/>
    <w:rsid w:val="5C901178"/>
    <w:rsid w:val="5F3B04B3"/>
    <w:rsid w:val="62200B5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Body Text"/>
    <w:basedOn w:val="1"/>
    <w:semiHidden/>
    <w:unhideWhenUsed/>
    <w:qFormat/>
    <w:uiPriority w:val="99"/>
    <w:pPr>
      <w:spacing w:after="120"/>
    </w:pPr>
  </w:style>
  <w:style w:type="paragraph" w:styleId="5">
    <w:name w:val="Balloon Text"/>
    <w:basedOn w:val="1"/>
    <w:link w:val="18"/>
    <w:semiHidden/>
    <w:unhideWhenUsed/>
    <w:uiPriority w:val="99"/>
    <w:rPr>
      <w:sz w:val="18"/>
      <w:szCs w:val="18"/>
    </w:rPr>
  </w:style>
  <w:style w:type="paragraph" w:styleId="6">
    <w:name w:val="footer"/>
    <w:basedOn w:val="1"/>
    <w:link w:val="17"/>
    <w:unhideWhenUsed/>
    <w:qFormat/>
    <w:uiPriority w:val="99"/>
    <w:pPr>
      <w:tabs>
        <w:tab w:val="center" w:pos="4153"/>
        <w:tab w:val="right" w:pos="8306"/>
      </w:tabs>
      <w:snapToGrid w:val="0"/>
      <w:jc w:val="left"/>
    </w:pPr>
    <w:rPr>
      <w:sz w:val="18"/>
      <w:szCs w:val="18"/>
    </w:rPr>
  </w:style>
  <w:style w:type="paragraph" w:styleId="7">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uiPriority w:val="99"/>
    <w:rPr>
      <w:sz w:val="24"/>
    </w:rPr>
  </w:style>
  <w:style w:type="paragraph" w:styleId="9">
    <w:name w:val="Body Text First Indent"/>
    <w:basedOn w:val="4"/>
    <w:unhideWhenUsed/>
    <w:qFormat/>
    <w:uiPriority w:val="0"/>
    <w:pPr>
      <w:ind w:firstLine="420" w:firstLineChars="100"/>
    </w:p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Strong"/>
    <w:basedOn w:val="12"/>
    <w:qFormat/>
    <w:uiPriority w:val="22"/>
    <w:rPr>
      <w:b/>
    </w:rPr>
  </w:style>
  <w:style w:type="character" w:styleId="14">
    <w:name w:val="Emphasis"/>
    <w:basedOn w:val="12"/>
    <w:qFormat/>
    <w:uiPriority w:val="20"/>
    <w:rPr>
      <w:i/>
    </w:rPr>
  </w:style>
  <w:style w:type="character" w:styleId="15">
    <w:name w:val="HTML Code"/>
    <w:basedOn w:val="12"/>
    <w:semiHidden/>
    <w:unhideWhenUsed/>
    <w:uiPriority w:val="99"/>
    <w:rPr>
      <w:rFonts w:ascii="Courier New" w:hAnsi="Courier New"/>
      <w:sz w:val="20"/>
    </w:rPr>
  </w:style>
  <w:style w:type="character" w:customStyle="1" w:styleId="16">
    <w:name w:val="页眉 Char"/>
    <w:basedOn w:val="12"/>
    <w:link w:val="7"/>
    <w:qFormat/>
    <w:uiPriority w:val="99"/>
    <w:rPr>
      <w:sz w:val="18"/>
      <w:szCs w:val="18"/>
    </w:rPr>
  </w:style>
  <w:style w:type="character" w:customStyle="1" w:styleId="17">
    <w:name w:val="页脚 Char"/>
    <w:basedOn w:val="12"/>
    <w:link w:val="6"/>
    <w:qFormat/>
    <w:uiPriority w:val="99"/>
    <w:rPr>
      <w:sz w:val="18"/>
      <w:szCs w:val="18"/>
    </w:rPr>
  </w:style>
  <w:style w:type="character" w:customStyle="1" w:styleId="18">
    <w:name w:val="批注框文本 Char"/>
    <w:basedOn w:val="12"/>
    <w:link w:val="5"/>
    <w:semiHidden/>
    <w:qFormat/>
    <w:uiPriority w:val="99"/>
    <w:rPr>
      <w:rFonts w:ascii="Times New Roman" w:hAnsi="Times New Roman" w:eastAsia="宋体" w:cs="Times New Roman"/>
      <w:sz w:val="18"/>
      <w:szCs w:val="18"/>
    </w:rPr>
  </w:style>
  <w:style w:type="paragraph" w:styleId="1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foshan</Company>
  <Pages>5</Pages>
  <Words>215</Words>
  <Characters>245</Characters>
  <Lines>2</Lines>
  <Paragraphs>1</Paragraphs>
  <TotalTime>20</TotalTime>
  <ScaleCrop>false</ScaleCrop>
  <LinksUpToDate>false</LinksUpToDate>
  <CharactersWithSpaces>245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2019-04-24T13:54:00Z</dcterms:created>
  <dc:creator>Huihui Chen</dc:creator>
  <cp:lastModifiedBy>沫</cp:lastModifiedBy>
  <dcterms:modified xsi:type="dcterms:W3CDTF">2025-10-20T01:17:50Z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946471BCF06D4B97974CA81238C1C60D_12</vt:lpwstr>
  </property>
  <property fmtid="{D5CDD505-2E9C-101B-9397-08002B2CF9AE}" pid="4" name="KSOTemplateDocerSaveRecord">
    <vt:lpwstr>eyJoZGlkIjoiNGE5YTZhZmFlMWNkNDQ2NDMxYTU0YWNjNTAxOTg4NTEiLCJ1c2VySWQiOiIxMDM5NTMzNjc2In0=</vt:lpwstr>
  </property>
</Properties>
</file>