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rFonts w:ascii="Hiragino Sans GB" w:hAnsi="Hiragino Sans GB" w:eastAsia="Hiragino Sans GB" w:cs="Hiragino Sans GB"/>
          <w:color w:val="000000"/>
        </w:rPr>
        <w:t>实时双语字幕插件</w:t>
      </w:r>
    </w:p>
    <w:p>
      <w:pPr>
        <w:pStyle w:val="Title"/>
      </w:pPr>
      <w:r>
        <w:rPr>
          <w:rFonts w:ascii="Hiragino Sans GB" w:hAnsi="Hiragino Sans GB" w:eastAsia="Hiragino Sans GB" w:cs="Hiragino Sans GB"/>
          <w:color w:val="000000"/>
        </w:rPr>
        <w:t>测试报告 模块二</w:t>
      </w:r>
    </w:p>
    <w:p>
      <w:r>
        <w:rPr>
          <w:rFonts w:ascii="Hiragino Sans GB" w:hAnsi="Hiragino Sans GB" w:eastAsia="Hiragino Sans GB" w:cs="Hiragino Sans GB"/>
          <w:color w:val="000000"/>
        </w:rPr>
        <w:t>本报告合并白宇与李承远的模块二 AI 测成果。两组各新增24条自动化用例，归档执行结果合计48条通过、0条失败；共发现并修复4项缺陷。两组结果分别来自2026年9月21日与22日的执行记录，合计数不代表同一基线上的一次统一重跑。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313"/>
      </w:tblGrid>
      <w:tr>
        <w:trPr>
          <w:tblHeader w:val="true"/>
        </w:trPr>
        <w:tc>
          <w:tcPr>
            <w:tcW w:type="dxa" w:w="209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13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实践方向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方案2：使用 AI 工具辅助测试</w:t>
            </w:r>
          </w:p>
        </w:tc>
      </w:tr>
      <w:tr>
        <w:tc>
          <w:tcPr>
            <w:tcW w:type="dxa" w:w="20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被测对象</w:t>
            </w:r>
          </w:p>
        </w:tc>
        <w:tc>
          <w:tcPr>
            <w:tcW w:type="dxa" w:w="7313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实时双语字幕插件 0.1.0</w:t>
            </w:r>
          </w:p>
        </w:tc>
      </w:tr>
      <w:tr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小组成员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白宇、李承远</w:t>
            </w:r>
          </w:p>
        </w:tc>
      </w:tr>
      <w:tr>
        <w:tc>
          <w:tcPr>
            <w:tcW w:type="dxa" w:w="20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文档版本与日期</w:t>
            </w:r>
          </w:p>
        </w:tc>
        <w:tc>
          <w:tcPr>
            <w:tcW w:type="dxa" w:w="7313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合并版 1.1 · 2026-09-24</w:t>
            </w:r>
          </w:p>
        </w:tc>
      </w:tr>
      <w:tr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追溯来源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deliverables/module2 与 deliverables/module2_lcy 的用例、缺陷和 evidence/summary.json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1 被测对象及AI融合方案概述</w:t>
      </w:r>
    </w:p>
    <w:p>
      <w:r>
        <w:rPr>
          <w:rFonts w:ascii="Hiragino Sans GB" w:hAnsi="Hiragino Sans GB" w:eastAsia="Hiragino Sans GB" w:cs="Hiragino Sans GB"/>
          <w:color w:val="000000"/>
        </w:rPr>
        <w:t>插件从浏览器标签页采集音频，经 PCM 处理与 WebSocket 网关调用语音识别和翻译服务，再由扩展 content script 显示双语字幕。工程包含 shared 协议、extension 扩展、gateway 网关及 Safari 资源。本轮采用方案2“AI测”，以 Codex 辅助源码检索、候选用例与数据生成、脚本草拟和缺陷定位，由可执行断言与隔离复现核对结论。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6123"/>
        <w:gridCol w:w="1247"/>
      </w:tblGrid>
      <w:tr>
        <w:trPr>
          <w:tblHeader w:val="true"/>
        </w:trPr>
        <w:tc>
          <w:tcPr>
            <w:tcW w:type="dxa" w:w="204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测试范围</w:t>
            </w:r>
          </w:p>
        </w:tc>
        <w:tc>
          <w:tcPr>
            <w:tcW w:type="dxa" w:w="6123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职责与本轮重点</w:t>
            </w:r>
          </w:p>
        </w:tc>
        <w:tc>
          <w:tcPr>
            <w:tcW w:type="dxa" w:w="124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新增用例</w:t>
            </w:r>
          </w:p>
        </w:tc>
      </w:tr>
      <w:tr>
        <w:tc>
          <w:tcPr>
            <w:tcW w:type="dxa" w:w="204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网关配置与共享协议</w:t>
            </w:r>
          </w:p>
        </w:tc>
        <w:tc>
          <w:tcPr>
            <w:tcW w:type="dxa" w:w="612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静音阈值、端口、hello/subtitle/status schema 边界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12</w:t>
            </w:r>
          </w:p>
        </w:tc>
      </w:tr>
      <w:tr>
        <w:tc>
          <w:tcPr>
            <w:tcW w:type="dxa" w:w="204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Gummy Provider</w:t>
            </w:r>
          </w:p>
        </w:tc>
        <w:tc>
          <w:tcPr>
            <w:tcW w:type="dxa" w:w="6123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上游 WebSocket 消息、结果处理及错误收敛</w:t>
            </w:r>
          </w:p>
        </w:tc>
        <w:tc>
          <w:tcPr>
            <w:tcW w:type="dxa" w:w="124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6</w:t>
            </w:r>
          </w:p>
        </w:tc>
      </w:tr>
      <w:tr>
        <w:tc>
          <w:tcPr>
            <w:tcW w:type="dxa" w:w="204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Chrome 字幕交互</w:t>
            </w:r>
          </w:p>
        </w:tc>
        <w:tc>
          <w:tcPr>
            <w:tcW w:type="dxa" w:w="612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拖拽、取消、状态提示和定时隐藏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6</w:t>
            </w:r>
          </w:p>
        </w:tc>
      </w:tr>
      <w:tr>
        <w:tc>
          <w:tcPr>
            <w:tcW w:type="dxa" w:w="204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Azure 适配器</w:t>
            </w:r>
          </w:p>
        </w:tc>
        <w:tc>
          <w:tcPr>
            <w:tcW w:type="dxa" w:w="6123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SDK配置、PCM、时间轴、结果转换、终止和取消分类</w:t>
            </w:r>
          </w:p>
        </w:tc>
        <w:tc>
          <w:tcPr>
            <w:tcW w:type="dxa" w:w="124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Gummy 测试使用本地 WebSocket 模拟服务；Azure 测试执行真实适配器代码与 SDK 枚举，但替换 SDK 工厂、识别器和音频流；浏览器测试加载实际构建的 content.js。两组均不使用真实云账号或密钥，因此结论不覆盖识别准确率、云端质量、真实网络延迟和 Safari 原生宿主。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2 AI实践过程与成果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2.1 实践过程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798"/>
        <w:gridCol w:w="4195"/>
      </w:tblGrid>
      <w:tr>
        <w:trPr>
          <w:tblHeader w:val="true"/>
        </w:trPr>
        <w:tc>
          <w:tcPr>
            <w:tcW w:type="dxa" w:w="141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79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AI辅助与初稿</w:t>
            </w:r>
          </w:p>
        </w:tc>
        <w:tc>
          <w:tcPr>
            <w:tcW w:type="dxa" w:w="4195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筛选、修正和复现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按配置、协议、Gummy 与 Chrome 分支提出28条候选；草拟 Vitest、Playwright 与本地 WebSocket 断言。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按依据、重复性和可重复性删除4条，保留24条；在临时源码副本复现小数拖拽、取消状态残留及未知语言码异常。</w:t>
            </w:r>
          </w:p>
        </w:tc>
      </w:tr>
      <w:tr>
        <w:tc>
          <w:tcPr>
            <w:tcW w:type="dxa" w:w="141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module2_lcy</w:t>
            </w:r>
          </w:p>
        </w:tc>
        <w:tc>
          <w:tcPr>
            <w:tcW w:type="dxa" w:w="37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对 Azure 适配器生成24条固定 SDK 事件测试，提出“终止后迟到回调”和“取消事件分类”假设。</w:t>
            </w:r>
          </w:p>
        </w:tc>
        <w:tc>
          <w:tcPr>
            <w:tcW w:type="dxa" w:w="4195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修复前20通过、4失败；针对 stopped 状态和 CancellationReason/ErrorCode 修改实现，修复后24通过。其原报告注明人工逐条审阅与原始对话截图尚待补充。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白宇侧的《AI关键对话摘录.png》由《AI实践记录.md》重排，属于内容摘录而非 Codex 界面原始截图；Azure 侧尚无归档的原始关键对话截图。合并报告沿用证据原貌，不把这些材料描述为已经完成的人工审阅记录。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4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4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Hiragino Sans GB" w:hAnsi="Hiragino Sans GB" w:eastAsia="Hiragino Sans GB" w:cs="Hiragino Sans GB"/>
          <w:color w:val="000000"/>
        </w:rPr>
        <w:t>图1　module2 的 AI 实践内容摘录（重新排版，非原始界面截图）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2.2 新增测试成果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1871"/>
        <w:gridCol w:w="850"/>
        <w:gridCol w:w="2381"/>
        <w:gridCol w:w="2721"/>
      </w:tblGrid>
      <w:tr>
        <w:trPr>
          <w:tblHeader w:val="true"/>
        </w:trPr>
        <w:tc>
          <w:tcPr>
            <w:tcW w:type="dxa" w:w="158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7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50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238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执行结果</w:t>
            </w:r>
          </w:p>
        </w:tc>
        <w:tc>
          <w:tcPr>
            <w:tcW w:type="dxa" w:w="272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发现缺陷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M2-001～024</w:t>
            </w:r>
          </w:p>
        </w:tc>
        <w:tc>
          <w:tcPr>
            <w:tcW w:type="dxa" w:w="850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24通过 / 0失败 / 0跳过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BUG-M2-001、002</w:t>
            </w:r>
          </w:p>
        </w:tc>
      </w:tr>
      <w:tr>
        <w:tc>
          <w:tcPr>
            <w:tcW w:type="dxa" w:w="158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module2_lcy</w:t>
            </w:r>
          </w:p>
        </w:tc>
        <w:tc>
          <w:tcPr>
            <w:tcW w:type="dxa" w:w="187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M2-LCY-001～024</w:t>
            </w:r>
          </w:p>
        </w:tc>
        <w:tc>
          <w:tcPr>
            <w:tcW w:type="dxa" w:w="850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</w:t>
            </w:r>
          </w:p>
        </w:tc>
        <w:tc>
          <w:tcPr>
            <w:tcW w:type="dxa" w:w="238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24通过 / 0失败 / 0跳过</w:t>
            </w:r>
          </w:p>
        </w:tc>
        <w:tc>
          <w:tcPr>
            <w:tcW w:type="dxa" w:w="272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BUG-M2-LCY-001、002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合计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48个唯一编号</w:t>
            </w:r>
          </w:p>
        </w:tc>
        <w:tc>
          <w:tcPr>
            <w:tcW w:type="dxa" w:w="850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48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48通过 / 0失败 / 0跳过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1984"/>
        <w:gridCol w:w="2381"/>
        <w:gridCol w:w="2098"/>
      </w:tblGrid>
      <w:tr>
        <w:trPr>
          <w:tblHeader w:val="true"/>
        </w:trPr>
        <w:tc>
          <w:tcPr>
            <w:tcW w:type="dxa" w:w="294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主要方法</w:t>
            </w:r>
          </w:p>
        </w:tc>
        <w:tc>
          <w:tcPr>
            <w:tcW w:type="dxa" w:w="198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module2</w:t>
            </w:r>
          </w:p>
        </w:tc>
        <w:tc>
          <w:tcPr>
            <w:tcW w:type="dxa" w:w="238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module2_lcy</w:t>
            </w:r>
          </w:p>
        </w:tc>
        <w:tc>
          <w:tcPr>
            <w:tcW w:type="dxa" w:w="209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合计</w:t>
            </w:r>
          </w:p>
        </w:tc>
      </w:tr>
      <w:tr>
        <w:tc>
          <w:tcPr>
            <w:tcW w:type="dxa" w:w="294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边界值</w:t>
            </w:r>
          </w:p>
        </w:tc>
        <w:tc>
          <w:tcPr>
            <w:tcW w:type="dxa" w:w="198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15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19</w:t>
            </w:r>
          </w:p>
        </w:tc>
      </w:tr>
      <w:tr>
        <w:tc>
          <w:tcPr>
            <w:tcW w:type="dxa" w:w="294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等价类</w:t>
            </w:r>
          </w:p>
        </w:tc>
        <w:tc>
          <w:tcPr>
            <w:tcW w:type="dxa" w:w="198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</w:t>
            </w:r>
          </w:p>
        </w:tc>
        <w:tc>
          <w:tcPr>
            <w:tcW w:type="dxa" w:w="238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12</w:t>
            </w:r>
          </w:p>
        </w:tc>
        <w:tc>
          <w:tcPr>
            <w:tcW w:type="dxa" w:w="20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16</w:t>
            </w:r>
          </w:p>
        </w:tc>
      </w:tr>
      <w:tr>
        <w:tc>
          <w:tcPr>
            <w:tcW w:type="dxa" w:w="294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场景法</w:t>
            </w:r>
          </w:p>
        </w:tc>
        <w:tc>
          <w:tcPr>
            <w:tcW w:type="dxa" w:w="198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5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8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13</w:t>
            </w:r>
          </w:p>
        </w:tc>
      </w:tr>
      <w:tr>
        <w:tc>
          <w:tcPr>
            <w:tcW w:type="dxa" w:w="294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合计</w:t>
            </w:r>
          </w:p>
        </w:tc>
        <w:tc>
          <w:tcPr>
            <w:tcW w:type="dxa" w:w="198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</w:t>
            </w:r>
          </w:p>
        </w:tc>
        <w:tc>
          <w:tcPr>
            <w:tcW w:type="dxa" w:w="238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24</w:t>
            </w:r>
          </w:p>
        </w:tc>
        <w:tc>
          <w:tcPr>
            <w:tcW w:type="dxa" w:w="20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48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48条用例均有唯一编号、输入、步骤、预期、实际结果及状态，详见总《测试用例清单.xlsx》。两组的原始 summary.json 均记录用例完整性及结果；Excel 的“来源文件组”列可逐条回溯。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2.3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876"/>
        <w:gridCol w:w="2721"/>
      </w:tblGrid>
      <w:tr>
        <w:trPr>
          <w:tblHeader w:val="true"/>
        </w:trPr>
        <w:tc>
          <w:tcPr>
            <w:tcW w:type="dxa" w:w="181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来源与日期</w:t>
            </w:r>
          </w:p>
        </w:tc>
        <w:tc>
          <w:tcPr>
            <w:tcW w:type="dxa" w:w="487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环境和框架</w:t>
            </w:r>
          </w:p>
        </w:tc>
        <w:tc>
          <w:tcPr>
            <w:tcW w:type="dxa" w:w="272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隔离条件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 · 2026-09-21</w:t>
            </w:r>
          </w:p>
        </w:tc>
        <w:tc>
          <w:tcPr>
            <w:tcW w:type="dxa" w:w="487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Apple M5、16 GiB、Darwin 25.4.0；Node.js 24.18.0；Vitest 3.2.7、Playwright 1.62.1。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本地 WebSocket、Chromium；不读取 .env。</w:t>
            </w:r>
          </w:p>
        </w:tc>
      </w:tr>
      <w:tr>
        <w:tc>
          <w:tcPr>
            <w:tcW w:type="dxa" w:w="181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module2_lcy · 2026-09-22</w:t>
            </w:r>
          </w:p>
        </w:tc>
        <w:tc>
          <w:tcPr>
            <w:tcW w:type="dxa" w:w="4876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Apple M5、16 GiB、Darwin 25.6.0；Node.js 24.19.0；Vitest 3.2.7、Speech SDK 1.51.0。</w:t>
            </w:r>
          </w:p>
        </w:tc>
        <w:tc>
          <w:tcPr>
            <w:tcW w:type="dxa" w:w="272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模拟 SDK 工厂和回调；test-key、example.invalid 为固定数据。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3 AI反思与批判</w:t>
      </w:r>
    </w:p>
    <w:p>
      <w:r>
        <w:rPr>
          <w:rFonts w:ascii="Hiragino Sans GB" w:hAnsi="Hiragino Sans GB" w:eastAsia="Hiragino Sans GB" w:cs="Hiragino Sans GB"/>
          <w:color w:val="000000"/>
        </w:rPr>
        <w:t>AI帮助扩大了边界和异常场景候选范围，并减少测试夹具、mock 与结果汇总器的初稿编写量。跨层检查发现拖拽小数偏移与整数 schema 的冲突；Azure 侧的固定 SDK 回调让终止后事件泄漏与取消分类错误可以稳定复现。</w:t>
      </w:r>
    </w:p>
    <w:p>
      <w:r>
        <w:rPr>
          <w:rFonts w:ascii="Hiragino Sans GB" w:hAnsi="Hiragino Sans GB" w:eastAsia="Hiragino Sans GB" w:cs="Hiragino Sans GB"/>
          <w:color w:val="000000"/>
        </w:rPr>
        <w:t>AI输出仍需要按需求和代码核对。module2 原候选包含依据不足的设置恢复、语言码和真实云服务测试，已删除或改为本地模拟；module2_lcy 初始执行命令与环境不符，首次回归还受本机端口权限影响，这些环境问题未计为产品缺陷。Azure 侧原报告明确人工逐条审阅、代码修改确认和原始对话截图尚待补充，因此不能把工具自行修正写成人工已完成的动作。</w:t>
      </w:r>
    </w:p>
    <w:p>
      <w:r>
        <w:rPr>
          <w:rFonts w:ascii="Hiragino Sans GB" w:hAnsi="Hiragino Sans GB" w:eastAsia="Hiragino Sans GB" w:cs="Hiragino Sans GB"/>
          <w:color w:val="000000"/>
        </w:rPr>
        <w:t>本次 AI 的角色是辅助者。有效缺陷依据是可复现的修复前失败、可解释的根因、修复后通过与相关回归，而不是 AI 的建议本身。模拟服务与固定事件能够证明本地逻辑在所测条件下符合预期，但不能替代真实云端和音频场景的验证。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4 执行结果与缺陷分析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4.1 执行结果</w:t>
      </w:r>
    </w:p>
    <w:p>
      <w:r>
        <w:rPr>
          <w:rFonts w:ascii="Hiragino Sans GB" w:hAnsi="Hiragino Sans GB" w:eastAsia="Hiragino Sans GB" w:cs="Hiragino Sans GB"/>
          <w:color w:val="000000"/>
        </w:rPr>
        <w:t>module2 归档记录18条 Vitest 与6条 Playwright 全通过；产品单元测试36条通过，既有扩展 E2E 为3通过、1条按设计跳过，类型检查及相关构建通过。module2_lcy 归档记录24条 Azure Vitest 全通过；产品36条及既有课程68条 Vitest 回归通过，类型检查和 Chrome 构建通过。上述记录来自不同日期和环境，不叠加为单次全量回归。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4.2 四项有效缺陷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2608"/>
        <w:gridCol w:w="2608"/>
      </w:tblGrid>
      <w:tr>
        <w:trPr>
          <w:tblHeader w:val="true"/>
        </w:trPr>
        <w:tc>
          <w:tcPr>
            <w:tcW w:type="dxa" w:w="170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编号与模块</w:t>
            </w:r>
          </w:p>
        </w:tc>
        <w:tc>
          <w:tcPr>
            <w:tcW w:type="dxa" w:w="249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修复前现象</w:t>
            </w:r>
          </w:p>
        </w:tc>
        <w:tc>
          <w:tcPr>
            <w:tcW w:type="dxa" w:w="260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根因与修复</w:t>
            </w:r>
          </w:p>
        </w:tc>
        <w:tc>
          <w:tcPr>
            <w:tcW w:type="dxa" w:w="260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修复后验证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BUG-M2-001</w:t>
              <w:br/>
              <w:t>Chrome拖拽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小数偏移保存被整数校验拒绝；pointercancel 后拖动态残留。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取整并统一 pointerup/cancel/lostcapture 清理。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M2-019～022通过</w:t>
            </w:r>
          </w:p>
        </w:tc>
      </w:tr>
      <w:tr>
        <w:tc>
          <w:tcPr>
            <w:tcW w:type="dxa" w:w="170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BUG-M2-002</w:t>
              <w:br/>
              <w:t>Gummy</w:t>
            </w:r>
          </w:p>
        </w:tc>
        <w:tc>
          <w:tcPr>
            <w:tcW w:type="dxa" w:w="249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未知翻译语言码使 result-generated 回调异常逃逸。</w:t>
            </w:r>
          </w:p>
        </w:tc>
        <w:tc>
          <w:tcPr>
            <w:tcW w:type="dxa" w:w="260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在结果处理边界捕获并以 gummy_result_processing_failed 收敛。</w:t>
            </w:r>
          </w:p>
        </w:tc>
        <w:tc>
          <w:tcPr>
            <w:tcW w:type="dxa" w:w="260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M2-013～018通过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BUG-M2-LCY-001</w:t>
              <w:br/>
              <w:t>Azure终止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abort 后迟到回调仍输出2条字幕、1条错误、1条状态。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在结果、取消及停止回调入口检查 stopped。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M2-LCY-020通过；相关资源回归通过</w:t>
            </w:r>
          </w:p>
        </w:tc>
      </w:tr>
      <w:tr>
        <w:tc>
          <w:tcPr>
            <w:tcW w:type="dxa" w:w="1701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BUG-M2-LCY-002</w:t>
              <w:br/>
              <w:t>Azure取消</w:t>
            </w:r>
          </w:p>
        </w:tc>
        <w:tc>
          <w:tcPr>
            <w:tcW w:type="dxa" w:w="249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认证、参数错误误标可重试；正常流结束被误报错误。</w:t>
            </w:r>
          </w:p>
        </w:tc>
        <w:tc>
          <w:tcPr>
            <w:tcW w:type="dxa" w:w="260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按取消原因与错误码分类，正常结束不报错。</w:t>
            </w:r>
          </w:p>
        </w:tc>
        <w:tc>
          <w:tcPr>
            <w:tcW w:type="dxa" w:w="260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M2-LCY-021、022、024通过；023验证超时可重试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BUG-M2-001 将小数保存和取消残留归为同一拖拽生命周期缺陷；BUG-M2-LCY-002 将三种取消分支归为同一分类根因。按独立根因计数为4项，未把每条失败断言另计为缺陷。详见总《缺陷清单.docx》。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4.3 质量结论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411"/>
      </w:tblGrid>
      <w:tr>
        <w:trPr>
          <w:tblHeader w:val="true"/>
        </w:trPr>
        <w:tc>
          <w:tcPr>
            <w:tcW w:type="dxa" w:w="9411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9411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两组归档共48条新增自动化用例均通过，4项有效缺陷已有修复前复现与修复后回归证据。该结论限定在各自固定输入、模拟依赖和归档运行环境。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5 自动化实现与执行方式</w:t>
      </w:r>
    </w:p>
    <w:p>
      <w:r>
        <w:rPr>
          <w:rFonts w:ascii="Hiragino Sans GB" w:hAnsi="Hiragino Sans GB" w:eastAsia="Hiragino Sans GB" w:cs="Hiragino Sans GB"/>
          <w:color w:val="000000"/>
        </w:rPr>
        <w:t>源码工程分别位于 tests/module2-ai 与 tests/module2-lcy。两组 runner 均核对用例编号和执行结果，并产出 summary.json；修复前复现脚本仅在临时副本恢复基线源码。进入 source_code/Real-time-translation-plugin-main，安装锁文件依赖后，可连续执行两个入口以覆盖48条：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6917"/>
      </w:tblGrid>
      <w:tr>
        <w:trPr>
          <w:tblHeader w:val="true"/>
        </w:trPr>
        <w:tc>
          <w:tcPr>
            <w:tcW w:type="dxa" w:w="249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691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命令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执行两组新增用例</w:t>
            </w:r>
          </w:p>
        </w:tc>
        <w:tc>
          <w:tcPr>
            <w:tcW w:type="dxa" w:w="691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npm run test:module2 &amp;&amp; npm run test:module2:lcy</w:t>
            </w:r>
          </w:p>
        </w:tc>
      </w:tr>
      <w:tr>
        <w:tc>
          <w:tcPr>
            <w:tcW w:type="dxa" w:w="249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各自修复前复现</w:t>
            </w:r>
          </w:p>
        </w:tc>
        <w:tc>
          <w:tcPr>
            <w:tcW w:type="dxa" w:w="691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npm run test:module2:reproduce；npm run test:module2:lcy:reproduce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各自完整回归</w:t>
            </w:r>
          </w:p>
        </w:tc>
        <w:tc>
          <w:tcPr>
            <w:tcW w:type="dxa" w:w="691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npm run test:regression:module2；npm run test:regression:module2:lcy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归档证据位于 deliverables/module2/evidence 与 deliverables/module2_lcy/evidence；其中 summary.json 为计数依据，reproduction.log 或 baseline-unit.json 记录修复前失败，unit.json/browser.json、回归日志和补丁记录修复后结果。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6 小组成员贡献度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309"/>
        <w:gridCol w:w="2608"/>
        <w:gridCol w:w="1247"/>
      </w:tblGrid>
      <w:tr>
        <w:trPr>
          <w:tblHeader w:val="true"/>
        </w:trPr>
        <w:tc>
          <w:tcPr>
            <w:tcW w:type="dxa" w:w="124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4309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原材料记载的主要工作</w:t>
            </w:r>
          </w:p>
        </w:tc>
        <w:tc>
          <w:tcPr>
            <w:tcW w:type="dxa" w:w="260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缺陷记录</w:t>
            </w:r>
          </w:p>
        </w:tc>
        <w:tc>
          <w:tcPr>
            <w:tcW w:type="dxa" w:w="124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工作量占比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白宇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 的候选筛选、Chrome M2-019～024、用例清单与报告整理。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BUG-M2-001（1项）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50%</w:t>
            </w:r>
          </w:p>
        </w:tc>
      </w:tr>
      <w:tr>
        <w:tc>
          <w:tcPr>
            <w:tcW w:type="dxa" w:w="124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李承远</w:t>
            </w:r>
          </w:p>
        </w:tc>
        <w:tc>
          <w:tcPr>
            <w:tcW w:type="dxa" w:w="4309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Gummy M2-013～018；Azure 适配器24条、证据与执行说明。</w:t>
            </w:r>
          </w:p>
        </w:tc>
        <w:tc>
          <w:tcPr>
            <w:tcW w:type="dxa" w:w="260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BUG-M2-002、BUG-M2-LCY-001、002（3项）</w:t>
            </w:r>
          </w:p>
        </w:tc>
        <w:tc>
          <w:tcPr>
            <w:tcW w:type="dxa" w:w="124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50%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合计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两组归档成果，共48条唯一用例。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4项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100%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占比沿用两份原报告的各50%记录。module2_lcy 原报告给出的相关测试文件物理行数为419行与147行，含空行、注释，不能直接等同个人手写量。两份原报告对既有24条用例的个人归属表述不完全一致，且 Azure 侧人工逐条审阅尚待确认；提交前应由两位成员据实核对。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Hiragino Sans GB" w:hAnsi="Hiragino Sans GB" w:eastAsia="Hiragino Sans GB" w:cs="Hiragino Sans GB"/>
        <w:color w:val="566674"/>
        <w:sz w:val="16"/>
      </w:rPr>
      <w:t xml:space="preserve">实时双语字幕插件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Hiragino Sans GB" w:hAnsi="Hiragino Sans GB" w:eastAsia="Hiragino Sans GB" w:cs="Hiragino Sans GB"/>
        <w:color w:val="566674"/>
        <w:sz w:val="16"/>
      </w:rPr>
      <w:t>模块二 AI 融合实践 · 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 w:before="0"/>
    </w:pPr>
    <w:rPr>
      <w:rFonts w:ascii="Hiragino Sans GB" w:hAnsi="Hiragino Sans GB" w:eastAsia="Hiragino Sans GB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93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93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93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93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 模块二</dc:title>
  <dc:subject>软件测试与质量保证实践 模块二 AI测</dc:subject>
  <dc:creator>白宇、李承远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