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/>
      </w:pPr>
      <w:r>
        <w:rPr>
          <w:rFonts w:ascii="Arial" w:hAnsi="Arial" w:eastAsia="PingFang SC"/>
          <w:b/>
          <w:i w:val="0"/>
          <w:color w:val="0FA3A3"/>
          <w:sz w:val="18"/>
        </w:rPr>
        <w:t>TEST REPORT · MODULE 2</w:t>
      </w:r>
    </w:p>
    <w:p>
      <w:pPr>
        <w:spacing w:before="0" w:after="120" w:line="312" w:lineRule="auto"/>
      </w:pPr>
      <w:r>
        <w:rPr>
          <w:rFonts w:ascii="Arial" w:hAnsi="Arial" w:eastAsia="PingFang SC"/>
          <w:b/>
          <w:i w:val="0"/>
          <w:color w:val="123B56"/>
          <w:sz w:val="40"/>
        </w:rPr>
        <w:t>实时双语字幕插件</w:t>
      </w:r>
    </w:p>
    <w:p>
      <w:pPr>
        <w:spacing w:after="280"/>
      </w:pPr>
      <w:r>
        <w:rPr>
          <w:rFonts w:ascii="Arial" w:hAnsi="Arial" w:eastAsia="PingFang SC"/>
          <w:b/>
          <w:i w:val="0"/>
          <w:color w:val="123B56"/>
          <w:sz w:val="60"/>
        </w:rPr>
        <w:t>测试报告（模块二）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2"/>
        <w:gridCol w:w="8957"/>
      </w:tblGrid>
      <w:tr>
        <w:tc>
          <w:tcPr>
            <w:tcW w:type="dxa" w:w="4762"/>
            <w:shd w:fill="0FA3A3"/>
          </w:tcPr>
          <w:p/>
        </w:tc>
        <w:tc>
          <w:tcPr>
            <w:tcW w:type="dxa" w:w="4762"/>
            <w:shd w:fill="E8F6F6"/>
          </w:tcPr>
          <w:p>
            <w:pPr>
              <w:spacing w:before="200" w:after="200"/>
              <w:ind w:left="142" w:right="142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22"/>
              </w:rPr>
              <w:t>采用方案2“AI测”：AI 辅助生成候选、定位跨层边界并草拟自动化；成员依据需求、源码和隔离复现筛选。最终新增 24 条独立用例，发现并修复 2 项有效缺陷。</w:t>
            </w:r>
          </w:p>
        </w:tc>
      </w:tr>
    </w:tbl>
    <w:p>
      <w:pPr>
        <w:spacing w:after="14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030"/>
      </w:tblGrid>
      <w:tr>
        <w:trPr>
          <w:tblHeader w:val="true"/>
        </w:trPr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实践方向</w:t>
            </w:r>
          </w:p>
        </w:tc>
        <w:tc>
          <w:tcPr>
            <w:tcW w:type="dxa" w:w="703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模块二 · 方案2（测试手段含AI）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小组成员</w:t>
            </w:r>
          </w:p>
        </w:tc>
        <w:tc>
          <w:tcPr>
            <w:tcW w:type="dxa" w:w="703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白宇、李承远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贡献比例</w:t>
            </w:r>
          </w:p>
        </w:tc>
        <w:tc>
          <w:tcPr>
            <w:tcW w:type="dxa" w:w="703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各 50%（提交前由成员据实复核）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文档版本</w:t>
            </w:r>
          </w:p>
        </w:tc>
        <w:tc>
          <w:tcPr>
            <w:tcW w:type="dxa" w:w="703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1.0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日期</w:t>
            </w:r>
          </w:p>
        </w:tc>
        <w:tc>
          <w:tcPr>
            <w:tcW w:type="dxa" w:w="703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2026-09-21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10" w:color="0FA3A3" w:space="4"/>
        </w:pBdr>
      </w:pPr>
      <w:r>
        <w:t>文档修订记录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247"/>
        <w:gridCol w:w="4535"/>
        <w:gridCol w:w="1701"/>
      </w:tblGrid>
      <w:tr>
        <w:trPr>
          <w:tblHeader w:val="true"/>
        </w:trPr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日期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版本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说明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作者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2026-09-21</w:t>
            </w:r>
          </w:p>
        </w:tc>
        <w:tc>
          <w:tcPr>
            <w:tcW w:type="dxa" w:w="124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1.0</w:t>
            </w:r>
          </w:p>
        </w:tc>
        <w:tc>
          <w:tcPr>
            <w:tcW w:type="dxa" w:w="453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按附录4结构完成模块二 AI 测报告</w:t>
            </w:r>
          </w:p>
        </w:tc>
        <w:tc>
          <w:tcPr>
            <w:tcW w:type="dxa" w:w="170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白宇、李承远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0" w:color="0FA3A3" w:space="4"/>
        </w:pBdr>
      </w:pPr>
      <w:r>
        <w:t>内容导航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1 被测对象及AI融合方案概述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2 AI实践过程与成果（实践过程 / 新增成果 / 测试环境）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3 AI反思与批判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4 执行结果与缺陷分析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5 自动化实现与执行方式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6 小组成员贡献度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"/>
        <w:gridCol w:w="9014"/>
      </w:tblGrid>
      <w:tr>
        <w:tc>
          <w:tcPr>
            <w:tcW w:type="dxa" w:w="4762"/>
            <w:shd w:fill="0FA3A3"/>
          </w:tcPr>
          <w:p/>
        </w:tc>
        <w:tc>
          <w:tcPr>
            <w:tcW w:type="dxa" w:w="4762"/>
            <w:shd w:fill="E8F6F6"/>
          </w:tcPr>
          <w:p>
            <w:pPr>
              <w:spacing w:before="120" w:after="120"/>
              <w:ind w:left="113"/>
            </w:pPr>
            <w:r>
              <w:rPr>
                <w:rFonts w:ascii="Arial" w:hAnsi="Arial" w:eastAsia="PingFang SC"/>
                <w:b/>
                <w:i w:val="0"/>
                <w:color w:val="123B56"/>
                <w:sz w:val="20"/>
              </w:rPr>
              <w:t xml:space="preserve">追溯说明  </w:t>
            </w:r>
            <w:r>
              <w:rPr>
                <w:rFonts w:ascii="Arial" w:hAnsi="Arial" w:eastAsia="PingFang SC"/>
                <w:b w:val="0"/>
                <w:i w:val="0"/>
                <w:color w:val="203743"/>
                <w:sz w:val="20"/>
              </w:rPr>
              <w:t>用例、日志、缺陷和文档均以 M2 编号关联；最终统计来自 evidence/summary.json。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10" w:color="0FA3A3" w:space="4"/>
        </w:pBdr>
      </w:pPr>
      <w:r>
        <w:t>1 被测对象及AI融合方案概述</w:t>
      </w:r>
    </w:p>
    <w:p>
      <w:pPr>
        <w:spacing w:before="0" w:after="120" w:line="312" w:lineRule="auto"/>
      </w:pPr>
      <w:r>
        <w:rPr>
          <w:rFonts w:ascii="Arial" w:hAnsi="Arial" w:eastAsia="PingFang SC"/>
          <w:b w:val="0"/>
          <w:i w:val="0"/>
          <w:color w:val="203743"/>
          <w:sz w:val="21"/>
        </w:rPr>
        <w:t>被测软件为实时双语字幕插件 0.1.0：浏览器捕获标签页音频，经 PCM 处理和 WebSocket 网关送入识别/翻译 provider，再由 content script 显示双语字幕。系统包括共享协议、Chrome MV3 扩展、Node.js 网关及 Safari 资源。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061"/>
        <w:gridCol w:w="1814"/>
        <w:gridCol w:w="2268"/>
      </w:tblGrid>
      <w:tr>
        <w:trPr>
          <w:tblHeader w:val="true"/>
        </w:trPr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核心职责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本轮规模（含空行/注释）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模块二关注点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204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shared/protocol.ts</w:t>
            </w:r>
          </w:p>
        </w:tc>
        <w:tc>
          <w:tcPr>
            <w:tcW w:type="dxa" w:w="306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设置、hello、subtitle、status schema</w:t>
            </w:r>
          </w:p>
        </w:tc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182行</w:t>
            </w:r>
          </w:p>
        </w:tc>
        <w:tc>
          <w:tcPr>
            <w:tcW w:type="dxa" w:w="226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负值、空文本、零时长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204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gateway/config.ts</w:t>
            </w:r>
          </w:p>
        </w:tc>
        <w:tc>
          <w:tcPr>
            <w:tcW w:type="dxa" w:w="306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网关环境变量读取与约束</w:t>
            </w:r>
          </w:p>
        </w:tc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71行</w:t>
            </w:r>
          </w:p>
        </w:tc>
        <w:tc>
          <w:tcPr>
            <w:tcW w:type="dxa" w:w="226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静音阈值和端口边界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204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gateway/gummy.ts</w:t>
            </w:r>
          </w:p>
        </w:tc>
        <w:tc>
          <w:tcPr>
            <w:tcW w:type="dxa" w:w="306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Gummy会话、结果聚合、错误处理</w:t>
            </w:r>
          </w:p>
        </w:tc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512行</w:t>
            </w:r>
          </w:p>
        </w:tc>
        <w:tc>
          <w:tcPr>
            <w:tcW w:type="dxa" w:w="226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不可信上游结果、任务生命周期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204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extension/content.ts</w:t>
            </w:r>
          </w:p>
        </w:tc>
        <w:tc>
          <w:tcPr>
            <w:tcW w:type="dxa" w:w="306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字幕浮层、状态提示、拖拽</w:t>
            </w:r>
          </w:p>
        </w:tc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197行</w:t>
            </w:r>
          </w:p>
        </w:tc>
        <w:tc>
          <w:tcPr>
            <w:tcW w:type="dxa" w:w="226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整数偏移、取消与提示时序</w:t>
            </w:r>
          </w:p>
        </w:tc>
      </w:tr>
    </w:tbl>
    <w:p>
      <w:pPr>
        <w:spacing w:after="40"/>
      </w:pPr>
    </w:p>
    <w:p>
      <w:pPr>
        <w:pStyle w:val="Heading2"/>
      </w:pPr>
      <w:r>
        <w:t>1.1 方案选择</w:t>
      </w:r>
    </w:p>
    <w:p>
      <w:pPr>
        <w:spacing w:before="0" w:after="120" w:line="312" w:lineRule="auto"/>
      </w:pPr>
      <w:r>
        <w:rPr>
          <w:rFonts w:ascii="Arial" w:hAnsi="Arial" w:eastAsia="PingFang SC"/>
          <w:b w:val="0"/>
          <w:i w:val="0"/>
          <w:color w:val="203743"/>
          <w:sz w:val="21"/>
        </w:rPr>
        <w:t>本组选择方案2“测试手段含AI”。使用 Codex（本地代码工作区中的 AI 编码助手）辅助源码检索、候选用例生成、边界组合、本地 mock 草拟和缺陷定位。选择理由是该插件状态分支和跨层约束较多，AI 适合扩大候选覆盖，但预期、范围和缺陷结论必须由成员审查。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"/>
        <w:gridCol w:w="9014"/>
      </w:tblGrid>
      <w:tr>
        <w:tc>
          <w:tcPr>
            <w:tcW w:type="dxa" w:w="4762"/>
            <w:shd w:fill="0FA3A3"/>
          </w:tcPr>
          <w:p/>
        </w:tc>
        <w:tc>
          <w:tcPr>
            <w:tcW w:type="dxa" w:w="4762"/>
            <w:shd w:fill="E8F6F6"/>
          </w:tcPr>
          <w:p>
            <w:pPr>
              <w:spacing w:before="120" w:after="120"/>
              <w:ind w:left="113"/>
            </w:pPr>
            <w:r>
              <w:rPr>
                <w:rFonts w:ascii="Arial" w:hAnsi="Arial" w:eastAsia="PingFang SC"/>
                <w:b/>
                <w:i w:val="0"/>
                <w:color w:val="123B56"/>
                <w:sz w:val="20"/>
              </w:rPr>
              <w:t xml:space="preserve">实践边界  </w:t>
            </w:r>
            <w:r>
              <w:rPr>
                <w:rFonts w:ascii="Arial" w:hAnsi="Arial" w:eastAsia="PingFang SC"/>
                <w:b w:val="0"/>
                <w:i w:val="0"/>
                <w:color w:val="203743"/>
                <w:sz w:val="20"/>
              </w:rPr>
              <w:t>模块二独立于模块一62条；不读取真实密钥、不调用阿里云、不宣称验证识别准确率、真实网络延迟或Safari原生宿主。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0" w:color="0FA3A3" w:space="4"/>
        </w:pBdr>
      </w:pPr>
      <w:r>
        <w:t>2 AI实践过程与成果</w:t>
      </w:r>
    </w:p>
    <w:p>
      <w:pPr>
        <w:pStyle w:val="Heading2"/>
      </w:pPr>
      <w:r>
        <w:t>2.1 实践过程</w:t>
      </w:r>
    </w:p>
    <w:p>
      <w:pPr>
        <w:spacing w:before="0" w:after="120" w:line="312" w:lineRule="auto"/>
      </w:pPr>
      <w:r>
        <w:rPr>
          <w:rFonts w:ascii="Arial" w:hAnsi="Arial" w:eastAsia="PingFang SC"/>
          <w:b w:val="0"/>
          <w:i w:val="0"/>
          <w:color w:val="203743"/>
          <w:sz w:val="21"/>
        </w:rPr>
        <w:t>流程分为六步：读取 README 与源码约束 → AI 生成 28 条候选 → 人工按依据、重复性、可重复性和协作边界筛选 → 构建本地 Vitest/Playwright/WebSocket 测试 → 在临时源码副本复现缺陷 → 修复并完整回归。</w:t>
      </w:r>
    </w:p>
    <w:p>
      <w:pPr>
        <w:spacing w:before="0" w:after="4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3749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关键对话摘录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4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312" w:lineRule="auto"/>
        <w:jc w:val="center"/>
      </w:pPr>
      <w:r>
        <w:rPr>
          <w:rFonts w:ascii="Arial" w:hAnsi="Arial" w:eastAsia="PingFang SC"/>
          <w:b w:val="0"/>
          <w:i/>
          <w:color w:val="5E7480"/>
          <w:sz w:val="17"/>
        </w:rPr>
        <w:t>图 1  从 AI实践记录.md 重新排版的关键摘录（明确非 Codex 界面截图）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551"/>
        <w:gridCol w:w="3288"/>
        <w:gridCol w:w="1757"/>
      </w:tblGrid>
      <w:tr>
        <w:trPr>
          <w:tblHeader w:val="true"/>
        </w:trPr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AI输出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人工修正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结果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47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候选生成</w:t>
            </w:r>
          </w:p>
        </w:tc>
        <w:tc>
          <w:tcPr>
            <w:tcW w:type="dxa" w:w="255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28条，覆盖配置、协议、Gummy、Chrome</w:t>
            </w:r>
          </w:p>
        </w:tc>
        <w:tc>
          <w:tcPr>
            <w:tcW w:type="dxa" w:w="328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核对需求依据与模块一重复</w:t>
            </w:r>
          </w:p>
        </w:tc>
        <w:tc>
          <w:tcPr>
            <w:tcW w:type="dxa" w:w="175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保留24条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47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环境建议</w:t>
            </w:r>
          </w:p>
        </w:tc>
        <w:tc>
          <w:tcPr>
            <w:tcW w:type="dxa" w:w="255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含真实云服务验证</w:t>
            </w:r>
          </w:p>
        </w:tc>
        <w:tc>
          <w:tcPr>
            <w:tcW w:type="dxa" w:w="328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改为本地WebSocket模拟，不读取密钥</w:t>
            </w:r>
          </w:p>
        </w:tc>
        <w:tc>
          <w:tcPr>
            <w:tcW w:type="dxa" w:w="175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可重复、零云费用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47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交互断言</w:t>
            </w:r>
          </w:p>
        </w:tc>
        <w:tc>
          <w:tcPr>
            <w:tcW w:type="dxa" w:w="255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主要检查CSS偏移</w:t>
            </w:r>
          </w:p>
        </w:tc>
        <w:tc>
          <w:tcPr>
            <w:tcW w:type="dxa" w:w="328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增加整数schema、指针捕获和保存记录</w:t>
            </w:r>
          </w:p>
        </w:tc>
        <w:tc>
          <w:tcPr>
            <w:tcW w:type="dxa" w:w="175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发现BUG-M2-001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47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异常分类</w:t>
            </w:r>
          </w:p>
        </w:tc>
        <w:tc>
          <w:tcPr>
            <w:tcW w:type="dxa" w:w="255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把未知语言码归为结构错误</w:t>
            </w:r>
          </w:p>
        </w:tc>
        <w:tc>
          <w:tcPr>
            <w:tcW w:type="dxa" w:w="328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沿数据流定位语义处理抛错</w:t>
            </w:r>
          </w:p>
        </w:tc>
        <w:tc>
          <w:tcPr>
            <w:tcW w:type="dxa" w:w="175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发现BUG-M2-002</w:t>
            </w:r>
          </w:p>
        </w:tc>
      </w:tr>
    </w:tbl>
    <w:p>
      <w:pPr>
        <w:spacing w:after="40"/>
      </w:pPr>
    </w:p>
    <w:p>
      <w:pPr>
        <w:pStyle w:val="Heading2"/>
      </w:pPr>
      <w:r>
        <w:t>2.2 新增测试成果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3458"/>
        <w:gridCol w:w="1984"/>
      </w:tblGrid>
      <w:tr>
        <w:trPr>
          <w:tblHeader w:val="true"/>
        </w:trPr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范围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用例数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工具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代表编号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网关配置</w:t>
            </w:r>
          </w:p>
        </w:tc>
        <w:tc>
          <w:tcPr>
            <w:tcW w:type="dxa" w:w="124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8</w:t>
            </w:r>
          </w:p>
        </w:tc>
        <w:tc>
          <w:tcPr>
            <w:tcW w:type="dxa" w:w="345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Vitest</w:t>
            </w:r>
          </w:p>
        </w:tc>
        <w:tc>
          <w:tcPr>
            <w:tcW w:type="dxa" w:w="198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M2-001～008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共享协议</w:t>
            </w:r>
          </w:p>
        </w:tc>
        <w:tc>
          <w:tcPr>
            <w:tcW w:type="dxa" w:w="124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4</w:t>
            </w:r>
          </w:p>
        </w:tc>
        <w:tc>
          <w:tcPr>
            <w:tcW w:type="dxa" w:w="345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Vitest</w:t>
            </w:r>
          </w:p>
        </w:tc>
        <w:tc>
          <w:tcPr>
            <w:tcW w:type="dxa" w:w="198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M2-009～012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Gummy Provider</w:t>
            </w:r>
          </w:p>
        </w:tc>
        <w:tc>
          <w:tcPr>
            <w:tcW w:type="dxa" w:w="124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6</w:t>
            </w:r>
          </w:p>
        </w:tc>
        <w:tc>
          <w:tcPr>
            <w:tcW w:type="dxa" w:w="345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Vitest + 本地WebSocket</w:t>
            </w:r>
          </w:p>
        </w:tc>
        <w:tc>
          <w:tcPr>
            <w:tcW w:type="dxa" w:w="198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M2-013～018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Chrome字幕交互</w:t>
            </w:r>
          </w:p>
        </w:tc>
        <w:tc>
          <w:tcPr>
            <w:tcW w:type="dxa" w:w="124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6</w:t>
            </w:r>
          </w:p>
        </w:tc>
        <w:tc>
          <w:tcPr>
            <w:tcW w:type="dxa" w:w="345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Playwright + 实际content.js</w:t>
            </w:r>
          </w:p>
        </w:tc>
        <w:tc>
          <w:tcPr>
            <w:tcW w:type="dxa" w:w="198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M2-019～024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合计</w:t>
            </w:r>
          </w:p>
        </w:tc>
        <w:tc>
          <w:tcPr>
            <w:tcW w:type="dxa" w:w="124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24</w:t>
            </w:r>
          </w:p>
        </w:tc>
        <w:tc>
          <w:tcPr>
            <w:tcW w:type="dxa" w:w="345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18 Vitest + 6 Playwright</w:t>
            </w:r>
          </w:p>
        </w:tc>
        <w:tc>
          <w:tcPr>
            <w:tcW w:type="dxa" w:w="198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M2-001～024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2381"/>
        <w:gridCol w:w="2381"/>
      </w:tblGrid>
      <w:tr>
        <w:trPr>
          <w:tblHeader w:val="true"/>
        </w:trPr>
        <w:tc>
          <w:tcPr>
            <w:tcW w:type="dxa" w:w="317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主要方法</w:t>
            </w:r>
          </w:p>
        </w:tc>
        <w:tc>
          <w:tcPr>
            <w:tcW w:type="dxa" w:w="317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数量</w:t>
            </w:r>
          </w:p>
        </w:tc>
        <w:tc>
          <w:tcPr>
            <w:tcW w:type="dxa" w:w="317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占比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351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边界值</w:t>
            </w:r>
          </w:p>
        </w:tc>
        <w:tc>
          <w:tcPr>
            <w:tcW w:type="dxa" w:w="238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15</w:t>
            </w:r>
          </w:p>
        </w:tc>
        <w:tc>
          <w:tcPr>
            <w:tcW w:type="dxa" w:w="238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62.5%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351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等价类</w:t>
            </w:r>
          </w:p>
        </w:tc>
        <w:tc>
          <w:tcPr>
            <w:tcW w:type="dxa" w:w="238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4</w:t>
            </w:r>
          </w:p>
        </w:tc>
        <w:tc>
          <w:tcPr>
            <w:tcW w:type="dxa" w:w="238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16.7%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351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场景法</w:t>
            </w:r>
          </w:p>
        </w:tc>
        <w:tc>
          <w:tcPr>
            <w:tcW w:type="dxa" w:w="238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5</w:t>
            </w:r>
          </w:p>
        </w:tc>
        <w:tc>
          <w:tcPr>
            <w:tcW w:type="dxa" w:w="238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20.8%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351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合计</w:t>
            </w:r>
          </w:p>
        </w:tc>
        <w:tc>
          <w:tcPr>
            <w:tcW w:type="dxa" w:w="238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24</w:t>
            </w:r>
          </w:p>
        </w:tc>
        <w:tc>
          <w:tcPr>
            <w:tcW w:type="dxa" w:w="238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100%</w:t>
            </w:r>
          </w:p>
        </w:tc>
      </w:tr>
    </w:tbl>
    <w:p>
      <w:pPr>
        <w:spacing w:after="40"/>
      </w:pPr>
    </w:p>
    <w:p>
      <w:pPr>
        <w:spacing w:before="0" w:after="120" w:line="312" w:lineRule="auto"/>
      </w:pPr>
      <w:r>
        <w:rPr>
          <w:rFonts w:ascii="Arial" w:hAnsi="Arial" w:eastAsia="PingFang SC"/>
          <w:b w:val="0"/>
          <w:i w:val="0"/>
          <w:color w:val="203743"/>
          <w:sz w:val="21"/>
        </w:rPr>
        <w:t>24 条全部自动化。用例名称直接包含 M2 编号，runner 从 Vitest/Playwright JSON 汇总并检查缺失、重复、构建失败、跳过和未执行；任一异常均返回非零。</w:t>
      </w:r>
    </w:p>
    <w:p>
      <w:pPr>
        <w:pStyle w:val="Heading2"/>
      </w:pPr>
      <w:r>
        <w:t>2.3 测试环境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690"/>
      </w:tblGrid>
      <w:tr>
        <w:trPr>
          <w:tblHeader w:val="true"/>
        </w:trPr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类别</w:t>
            </w:r>
          </w:p>
        </w:tc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配置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硬件/系统</w:t>
            </w:r>
          </w:p>
        </w:tc>
        <w:tc>
          <w:tcPr>
            <w:tcW w:type="dxa" w:w="669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Apple M5，16 GiB，arm64，Darwin 25.4.0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运行时</w:t>
            </w:r>
          </w:p>
        </w:tc>
        <w:tc>
          <w:tcPr>
            <w:tcW w:type="dxa" w:w="669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Node.js 24.18.0，npm 11.16.0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测试框架</w:t>
            </w:r>
          </w:p>
        </w:tc>
        <w:tc>
          <w:tcPr>
            <w:tcW w:type="dxa" w:w="669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Vitest 3.2.7，Playwright 1.62.1，Chromium（随 Playwright）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网关模拟</w:t>
            </w:r>
          </w:p>
        </w:tc>
        <w:tc>
          <w:tcPr>
            <w:tcW w:type="dxa" w:w="669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ws.WebSocketServer，本机127.0.0.1随机端口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账户/密码</w:t>
            </w:r>
          </w:p>
        </w:tc>
        <w:tc>
          <w:tcPr>
            <w:tcW w:type="dxa" w:w="669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不需要；测试不读取.env，不使用阿里云账号或密钥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0" w:color="0FA3A3" w:space="4"/>
        </w:pBdr>
      </w:pPr>
      <w:r>
        <w:t>3 AI反思与批判</w:t>
      </w:r>
    </w:p>
    <w:p>
      <w:pPr>
        <w:pStyle w:val="Heading2"/>
      </w:pPr>
      <w:r>
        <w:t>3.1 AI工具帮我们做了什么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并行扫描 schema 与事件处理分支，快速形成配置、协议、provider 和浏览器交互的边界矩阵。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提示检查“拖拽可产生小数，但保存schema要求整数”的跨层不一致，并草拟可执行 Playwright 断言。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根据上游消息数据流定位 unknown lang 在 schema 之后、语言映射阶段抛错的路径。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生成本地 WebSocket 模拟服务与结果汇总器初稿，减少重复脚手架工作。</w:t>
      </w:r>
    </w:p>
    <w:p>
      <w:pPr>
        <w:pStyle w:val="Heading2"/>
      </w:pPr>
      <w:r>
        <w:t>3.2 AI工具哪里不靠谱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把需求依据不足的“部分设置恢复”“拒绝 zh-Hant”作为候选，可能制造伪缺陷。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提出依赖真实云服务的测试，违反可重复性与不使用密钥的边界。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建议汇总模块一全部用例，忽略了本轮独立交付和协作范围。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可能把时序性失败直接归为产品缺陷；本次对模块一 M1-058 的一次波动采用单独重跑核对，未计入模块二。</w:t>
      </w:r>
    </w:p>
    <w:p>
      <w:pPr>
        <w:pStyle w:val="Heading2"/>
      </w:pPr>
      <w:r>
        <w:t>3.3 人做了什么</w:t>
      </w:r>
    </w:p>
    <w:p>
      <w:pPr>
        <w:spacing w:before="0" w:after="120" w:line="312" w:lineRule="auto"/>
      </w:pPr>
      <w:r>
        <w:rPr>
          <w:rFonts w:ascii="Arial" w:hAnsi="Arial" w:eastAsia="PingFang SC"/>
          <w:b w:val="0"/>
          <w:i w:val="0"/>
          <w:color w:val="203743"/>
          <w:sz w:val="21"/>
        </w:rPr>
        <w:t>成员依据 README、Zod schema、源码状态机、浏览器指针语义和课程要求，删除 4 条候选、重写断言、固定本地数据，并用临时源码副本确认修复前失败。两个缺陷按独立根因归类，修复范围限定在拖拽生命周期与 Gummy 结果处理边界。</w:t>
      </w:r>
    </w:p>
    <w:p>
      <w:pPr>
        <w:pStyle w:val="Heading2"/>
      </w:pPr>
      <w:r>
        <w:t>3.4 角色定位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"/>
        <w:gridCol w:w="9014"/>
      </w:tblGrid>
      <w:tr>
        <w:tc>
          <w:tcPr>
            <w:tcW w:type="dxa" w:w="4762"/>
            <w:shd w:fill="0FA3A3"/>
          </w:tcPr>
          <w:p/>
        </w:tc>
        <w:tc>
          <w:tcPr>
            <w:tcW w:type="dxa" w:w="4762"/>
            <w:shd w:fill="E8F6F6"/>
          </w:tcPr>
          <w:p>
            <w:pPr>
              <w:spacing w:before="120" w:after="120"/>
              <w:ind w:left="113"/>
            </w:pPr>
            <w:r>
              <w:rPr>
                <w:rFonts w:ascii="Arial" w:hAnsi="Arial" w:eastAsia="PingFang SC"/>
                <w:b/>
                <w:i w:val="0"/>
                <w:color w:val="123B56"/>
                <w:sz w:val="20"/>
              </w:rPr>
              <w:t xml:space="preserve">结论：AI是辅助者  </w:t>
            </w:r>
            <w:r>
              <w:rPr>
                <w:rFonts w:ascii="Arial" w:hAnsi="Arial" w:eastAsia="PingFang SC"/>
                <w:b w:val="0"/>
                <w:i w:val="0"/>
                <w:color w:val="203743"/>
                <w:sz w:val="20"/>
              </w:rPr>
              <w:t>AI提高了候选广度和脚本草拟速度，但不能替代需求判定、缺陷定性、可重复性验证和质量结论。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0" w:color="0FA3A3" w:space="4"/>
        </w:pBdr>
      </w:pPr>
      <w:r>
        <w:t>4 执行结果与缺陷分析</w:t>
      </w:r>
    </w:p>
    <w:p>
      <w:pPr>
        <w:pStyle w:val="Heading2"/>
      </w:pPr>
      <w:r>
        <w:t>4.1 修复后结果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175"/>
        <w:gridCol w:w="3458"/>
      </w:tblGrid>
      <w:tr>
        <w:trPr>
          <w:tblHeader w:val="true"/>
        </w:trPr>
        <w:tc>
          <w:tcPr>
            <w:tcW w:type="dxa" w:w="317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测试/构建项</w:t>
            </w:r>
          </w:p>
        </w:tc>
        <w:tc>
          <w:tcPr>
            <w:tcW w:type="dxa" w:w="317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结果</w:t>
            </w:r>
          </w:p>
        </w:tc>
        <w:tc>
          <w:tcPr>
            <w:tcW w:type="dxa" w:w="317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32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模块二自动化</w:t>
            </w:r>
          </w:p>
        </w:tc>
        <w:tc>
          <w:tcPr>
            <w:tcW w:type="dxa" w:w="317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24通过 / 0失败 / 0跳过 / 0未执行</w:t>
            </w:r>
          </w:p>
        </w:tc>
        <w:tc>
          <w:tcPr>
            <w:tcW w:type="dxa" w:w="345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18 Vitest + 6 Playwright</w:t>
            </w:r>
          </w:p>
        </w:tc>
      </w:tr>
      <w:tr>
        <w:trPr>
          <w:cantSplit w:val="true"/>
        </w:trPr>
        <w:tc>
          <w:tcPr>
            <w:tcW w:type="dxa" w:w="232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产品单元测试</w:t>
            </w:r>
          </w:p>
        </w:tc>
        <w:tc>
          <w:tcPr>
            <w:tcW w:type="dxa" w:w="317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36通过</w:t>
            </w:r>
          </w:p>
        </w:tc>
        <w:tc>
          <w:tcPr>
            <w:tcW w:type="dxa" w:w="345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shared 7、extension 6、gateway 23</w:t>
            </w:r>
          </w:p>
        </w:tc>
      </w:tr>
      <w:tr>
        <w:trPr>
          <w:cantSplit w:val="true"/>
        </w:trPr>
        <w:tc>
          <w:tcPr>
            <w:tcW w:type="dxa" w:w="232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既有扩展E2E</w:t>
            </w:r>
          </w:p>
        </w:tc>
        <w:tc>
          <w:tcPr>
            <w:tcW w:type="dxa" w:w="317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3通过 / 1跳过</w:t>
            </w:r>
          </w:p>
        </w:tc>
        <w:tc>
          <w:tcPr>
            <w:tcW w:type="dxa" w:w="345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真实音频捕获按原设计跳过，不计作通过</w:t>
            </w:r>
          </w:p>
        </w:tc>
      </w:tr>
      <w:tr>
        <w:trPr>
          <w:cantSplit w:val="true"/>
        </w:trPr>
        <w:tc>
          <w:tcPr>
            <w:tcW w:type="dxa" w:w="232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类型检查</w:t>
            </w:r>
          </w:p>
        </w:tc>
        <w:tc>
          <w:tcPr>
            <w:tcW w:type="dxa" w:w="317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通过</w:t>
            </w:r>
          </w:p>
        </w:tc>
        <w:tc>
          <w:tcPr>
            <w:tcW w:type="dxa" w:w="345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产品工作区 + 模块二</w:t>
            </w:r>
          </w:p>
        </w:tc>
      </w:tr>
      <w:tr>
        <w:trPr>
          <w:cantSplit w:val="true"/>
        </w:trPr>
        <w:tc>
          <w:tcPr>
            <w:tcW w:type="dxa" w:w="232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构建</w:t>
            </w:r>
          </w:p>
        </w:tc>
        <w:tc>
          <w:tcPr>
            <w:tcW w:type="dxa" w:w="317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通过</w:t>
            </w:r>
          </w:p>
        </w:tc>
        <w:tc>
          <w:tcPr>
            <w:tcW w:type="dxa" w:w="345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Chrome、网关、Safari资源</w:t>
            </w:r>
          </w:p>
        </w:tc>
      </w:tr>
    </w:tbl>
    <w:p>
      <w:pPr>
        <w:spacing w:after="40"/>
      </w:pPr>
    </w:p>
    <w:p>
      <w:pPr>
        <w:pStyle w:val="Heading2"/>
      </w:pPr>
      <w:r>
        <w:t>4.2 修复前复现</w:t>
      </w:r>
    </w:p>
    <w:p>
      <w:pPr>
        <w:spacing w:before="0" w:after="120" w:line="312" w:lineRule="auto"/>
      </w:pPr>
      <w:r>
        <w:rPr>
          <w:rFonts w:ascii="Arial" w:hAnsi="Arial" w:eastAsia="PingFang SC"/>
          <w:b w:val="0"/>
          <w:i w:val="0"/>
          <w:color w:val="203743"/>
          <w:sz w:val="21"/>
        </w:rPr>
        <w:t>reproduce.mjs 在系统临时目录复制源码并恢复 original-sources.json 中的修复前片段。M2-016、M2-019、M2-022 均失败，分别指向两个独立根因；临时目录执行结束后删除，当前工作区不受影响。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835"/>
        <w:gridCol w:w="3005"/>
        <w:gridCol w:w="1701"/>
      </w:tblGrid>
      <w:tr>
        <w:trPr>
          <w:tblHeader w:val="true"/>
        </w:trPr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缺陷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修复前现象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修复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修复后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BUG-M2-001</w:t>
            </w:r>
          </w:p>
        </w:tc>
        <w:tc>
          <w:tcPr>
            <w:tcW w:type="dxa" w:w="283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41.5保存失败；取消后dragging/capture保留</w:t>
            </w:r>
          </w:p>
        </w:tc>
        <w:tc>
          <w:tcPr>
            <w:tcW w:type="dxa" w:w="300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钳制后取整；统一结束/取消/捕获丢失</w:t>
            </w:r>
          </w:p>
        </w:tc>
        <w:tc>
          <w:tcPr>
            <w:tcW w:type="dxa" w:w="170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M2-019～022通过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BUG-M2-002</w:t>
            </w:r>
          </w:p>
        </w:tc>
        <w:tc>
          <w:tcPr>
            <w:tcW w:type="dxa" w:w="283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lang=xx异常逃逸，无受控provider-error</w:t>
            </w:r>
          </w:p>
        </w:tc>
        <w:tc>
          <w:tcPr>
            <w:tcW w:type="dxa" w:w="300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结果处理异常转为gummy_result_processing_failed</w:t>
            </w:r>
          </w:p>
        </w:tc>
        <w:tc>
          <w:tcPr>
            <w:tcW w:type="dxa" w:w="170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M2-013～018通过</w:t>
            </w:r>
          </w:p>
        </w:tc>
      </w:tr>
    </w:tbl>
    <w:p>
      <w:pPr>
        <w:spacing w:after="40"/>
      </w:pPr>
    </w:p>
    <w:p>
      <w:pPr>
        <w:pStyle w:val="Heading2"/>
      </w:pPr>
      <w:r>
        <w:t>4.3 质量结论</w:t>
      </w:r>
    </w:p>
    <w:p>
      <w:pPr>
        <w:spacing w:before="0" w:after="120" w:line="312" w:lineRule="auto"/>
      </w:pPr>
      <w:r>
        <w:rPr>
          <w:rFonts w:ascii="Arial" w:hAnsi="Arial" w:eastAsia="PingFang SC"/>
          <w:b w:val="0"/>
          <w:i w:val="0"/>
          <w:color w:val="203743"/>
          <w:sz w:val="21"/>
        </w:rPr>
        <w:t>在固定协议对象、本地 WebSocket 和 Chromium 浮层交互条件下，24 条新增用例全部满足预期，两项缺陷修复后未引入已执行回归。该结论支持本地逻辑与浏览器交互质量判断，不外推到真实语音识别准确率、云端翻译质量、真实网络延迟或 Safari 原生宿主。</w:t>
      </w:r>
    </w:p>
    <w:p>
      <w:pPr>
        <w:pStyle w:val="Heading1"/>
        <w:pBdr>
          <w:bottom w:val="single" w:sz="10" w:color="0FA3A3" w:space="4"/>
        </w:pBdr>
      </w:pPr>
      <w:r>
        <w:t>5 自动化实现与执行方式</w:t>
      </w:r>
    </w:p>
    <w:p>
      <w:pPr>
        <w:spacing w:before="0" w:after="120" w:line="312" w:lineRule="auto"/>
      </w:pPr>
      <w:r>
        <w:rPr>
          <w:rFonts w:ascii="Arial" w:hAnsi="Arial" w:eastAsia="PingFang SC"/>
          <w:b w:val="0"/>
          <w:i w:val="0"/>
          <w:color w:val="203743"/>
          <w:sz w:val="21"/>
        </w:rPr>
        <w:t>测试工程位于 tests/module2-ai。cases.json 是用例元数据，run.mjs 依次执行 Vitest、Chrome 构建和 Playwright，并生成 summary.json；reproduce.mjs 负责修复前隔离复现。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525"/>
            <w:shd w:fill="F3F6F8"/>
            <w:tcBorders>
              <w:top w:val="single" w:sz="4" w:color="D5E0E5"/>
              <w:left w:val="single" w:sz="4" w:color="D5E0E5"/>
              <w:bottom w:val="single" w:sz="4" w:color="D5E0E5"/>
              <w:right w:val="single" w:sz="4" w:color="D5E0E5"/>
              <w:insideH w:val="single" w:sz="4" w:color="D5E0E5"/>
              <w:insideV w:val="single" w:sz="4" w:color="D5E0E5"/>
            </w:tcBorders>
          </w:tcPr>
          <w:p>
            <w:pPr>
              <w:spacing w:after="0" w:line="252" w:lineRule="auto"/>
            </w:pPr>
            <w:r/>
            <w:r>
              <w:rPr>
                <w:rFonts w:ascii="Menlo" w:hAnsi="Menlo" w:eastAsia="PingFang SC"/>
                <w:color w:val="263F4C"/>
                <w:sz w:val="17"/>
              </w:rPr>
              <w:t># 24条模块二用例</w:t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  <w:t>npm run test:module2</w:t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  <w:t># 修复前缺陷复现（预期非零）</w:t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  <w:t>npm run test:module2:reproduce</w:t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  <w:t># 产品与模块二完整回归</w:t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  <w:t>npm run test:regression:module2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4876"/>
      </w:tblGrid>
      <w:tr>
        <w:trPr>
          <w:tblHeader w:val="true"/>
        </w:trPr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结果文件</w:t>
            </w:r>
          </w:p>
        </w:tc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08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tests/module2-ai/results/summary.json</w:t>
            </w:r>
          </w:p>
        </w:tc>
        <w:tc>
          <w:tcPr>
            <w:tcW w:type="dxa" w:w="4876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24条逐项结果、环境、方法分布、源码SHA-256</w:t>
            </w:r>
          </w:p>
        </w:tc>
      </w:tr>
      <w:tr>
        <w:trPr>
          <w:cantSplit w:val="true"/>
        </w:trPr>
        <w:tc>
          <w:tcPr>
            <w:tcW w:type="dxa" w:w="408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unit.json / browser.json</w:t>
            </w:r>
          </w:p>
        </w:tc>
        <w:tc>
          <w:tcPr>
            <w:tcW w:type="dxa" w:w="4876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Vitest与Playwright机器可读原始报告</w:t>
            </w:r>
          </w:p>
        </w:tc>
      </w:tr>
      <w:tr>
        <w:trPr>
          <w:cantSplit w:val="true"/>
        </w:trPr>
        <w:tc>
          <w:tcPr>
            <w:tcW w:type="dxa" w:w="408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reproduction.log</w:t>
            </w:r>
          </w:p>
        </w:tc>
        <w:tc>
          <w:tcPr>
            <w:tcW w:type="dxa" w:w="4876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修复前 M2-016/019/022 失败证据</w:t>
            </w:r>
          </w:p>
        </w:tc>
      </w:tr>
      <w:tr>
        <w:trPr>
          <w:cantSplit w:val="true"/>
        </w:trPr>
        <w:tc>
          <w:tcPr>
            <w:tcW w:type="dxa" w:w="408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regression.log</w:t>
            </w:r>
          </w:p>
        </w:tc>
        <w:tc>
          <w:tcPr>
            <w:tcW w:type="dxa" w:w="4876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类型、产品测试、模块二、构建、既有E2E完整记录</w:t>
            </w:r>
          </w:p>
        </w:tc>
      </w:tr>
      <w:tr>
        <w:trPr>
          <w:cantSplit w:val="true"/>
        </w:trPr>
        <w:tc>
          <w:tcPr>
            <w:tcW w:type="dxa" w:w="408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source-before-after.json / repair.patch</w:t>
            </w:r>
          </w:p>
        </w:tc>
        <w:tc>
          <w:tcPr>
            <w:tcW w:type="dxa" w:w="4876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修复前后源码摘要与补丁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0" w:color="0FA3A3" w:space="4"/>
        </w:pBdr>
      </w:pPr>
      <w:r>
        <w:t>6 小组成员贡献度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3969"/>
        <w:gridCol w:w="2948"/>
        <w:gridCol w:w="907"/>
      </w:tblGrid>
      <w:tr>
        <w:trPr>
          <w:tblHeader w:val="true"/>
        </w:trPr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成员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工作内容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可追溯成果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占比</w:t>
            </w:r>
          </w:p>
        </w:tc>
      </w:tr>
      <w:tr>
        <w:trPr>
          <w:cantSplit w:val="true"/>
        </w:trPr>
        <w:tc>
          <w:tcPr>
            <w:tcW w:type="dxa" w:w="130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白宇</w:t>
            </w:r>
          </w:p>
        </w:tc>
        <w:tc>
          <w:tcPr>
            <w:tcW w:type="dxa" w:w="3969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AI候选筛选、Chrome交互用例与BUG-M2-001验证、用例清单与报告整理</w:t>
            </w:r>
          </w:p>
        </w:tc>
        <w:tc>
          <w:tcPr>
            <w:tcW w:type="dxa" w:w="294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M2-019～024；BUG-M2-001；Excel/报告</w:t>
            </w:r>
          </w:p>
        </w:tc>
        <w:tc>
          <w:tcPr>
            <w:tcW w:type="dxa" w:w="90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50%</w:t>
            </w:r>
          </w:p>
        </w:tc>
      </w:tr>
      <w:tr>
        <w:trPr>
          <w:cantSplit w:val="true"/>
        </w:trPr>
        <w:tc>
          <w:tcPr>
            <w:tcW w:type="dxa" w:w="130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李承远</w:t>
            </w:r>
          </w:p>
        </w:tc>
        <w:tc>
          <w:tcPr>
            <w:tcW w:type="dxa" w:w="3969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Gummy协议健壮性、BUG-M2-002验证、证据归档与成果汇报整理</w:t>
            </w:r>
          </w:p>
        </w:tc>
        <w:tc>
          <w:tcPr>
            <w:tcW w:type="dxa" w:w="294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M2-013～018；BUG-M2-002；证据/PPT</w:t>
            </w:r>
          </w:p>
        </w:tc>
        <w:tc>
          <w:tcPr>
            <w:tcW w:type="dxa" w:w="90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50%</w:t>
            </w:r>
          </w:p>
        </w:tc>
      </w:tr>
      <w:tr>
        <w:trPr>
          <w:cantSplit w:val="true"/>
        </w:trPr>
        <w:tc>
          <w:tcPr>
            <w:tcW w:type="dxa" w:w="130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合计</w:t>
            </w:r>
          </w:p>
        </w:tc>
        <w:tc>
          <w:tcPr>
            <w:tcW w:type="dxa" w:w="3969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共同审查测试设计、修复边界、回归结果与最终交付</w:t>
            </w:r>
          </w:p>
        </w:tc>
        <w:tc>
          <w:tcPr>
            <w:tcW w:type="dxa" w:w="294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24条用例、2项缺陷、5项主交付件</w:t>
            </w:r>
          </w:p>
        </w:tc>
        <w:tc>
          <w:tcPr>
            <w:tcW w:type="dxa" w:w="90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100%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"/>
        <w:gridCol w:w="9014"/>
      </w:tblGrid>
      <w:tr>
        <w:tc>
          <w:tcPr>
            <w:tcW w:type="dxa" w:w="4762"/>
            <w:shd w:fill="0FA3A3"/>
          </w:tcPr>
          <w:p/>
        </w:tc>
        <w:tc>
          <w:tcPr>
            <w:tcW w:type="dxa" w:w="4762"/>
            <w:shd w:fill="E8F6F6"/>
          </w:tcPr>
          <w:p>
            <w:pPr>
              <w:spacing w:before="120" w:after="120"/>
              <w:ind w:left="113"/>
            </w:pPr>
            <w:r>
              <w:rPr>
                <w:rFonts w:ascii="Arial" w:hAnsi="Arial" w:eastAsia="PingFang SC"/>
                <w:b/>
                <w:i w:val="0"/>
                <w:color w:val="123B56"/>
                <w:sz w:val="20"/>
              </w:rPr>
              <w:t xml:space="preserve">提交前复核  </w:t>
            </w:r>
            <w:r>
              <w:rPr>
                <w:rFonts w:ascii="Arial" w:hAnsi="Arial" w:eastAsia="PingFang SC"/>
                <w:b w:val="0"/>
                <w:i w:val="0"/>
                <w:color w:val="203743"/>
                <w:sz w:val="20"/>
              </w:rPr>
              <w:t>贡献描述与比例按当前协作假设填写；两位成员应使用各自账号提交实际审查和完成的内容，不由自动化代替创建Git提交。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34" w:bottom="1077" w:left="124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2268"/>
      <w:gridCol w:w="2438"/>
    </w:tblGrid>
    <w:tr>
      <w:tc>
        <w:tcPr>
          <w:tcW w:type="dxa" w:w="3175"/>
          <w:tcMar/>
        </w:tcPr>
        <w:p>
          <w:pPr>
            <w:jc w:val="left"/>
          </w:pPr>
          <w:r/>
          <w:r>
            <w:rPr>
              <w:rFonts w:ascii="Arial" w:hAnsi="Arial" w:eastAsia="PingFang SC"/>
              <w:b w:val="0"/>
              <w:i w:val="0"/>
              <w:color w:val="5E7480"/>
              <w:sz w:val="16"/>
            </w:rPr>
            <w:t>测试报告_模块二</w:t>
          </w:r>
        </w:p>
      </w:tc>
      <w:tc>
        <w:tcPr>
          <w:tcW w:type="dxa" w:w="3175"/>
          <w:tcMar/>
        </w:tcPr>
        <w:p>
          <w:pPr>
            <w:jc w:val="center"/>
          </w:pPr>
          <w:r/>
          <w:r>
            <w:rPr>
              <w:rFonts w:ascii="Arial" w:hAnsi="Arial" w:eastAsia="PingFang SC"/>
              <w:b w:val="0"/>
              <w:i w:val="0"/>
              <w:color w:val="5E7480"/>
              <w:sz w:val="16"/>
            </w:rPr>
            <w:t>版本 1.0</w:t>
          </w:r>
        </w:p>
      </w:tc>
      <w:tc>
        <w:tcPr>
          <w:tcW w:type="dxa" w:w="3175"/>
          <w:tcMar/>
        </w:tcPr>
        <w:p>
          <w:pPr>
            <w:jc w:val="right"/>
          </w:pPr>
          <w:r>
            <w:rPr>
              <w:rFonts w:ascii="Arial" w:hAnsi="Arial" w:eastAsia="PingFang SC"/>
              <w:b w:val="0"/>
              <w:i w:val="0"/>
              <w:color w:val="5E7480"/>
              <w:sz w:val="16"/>
            </w:rPr>
          </w:r>
          <w:r>
            <w:rPr>
              <w:rFonts w:ascii="Arial" w:hAnsi="Arial" w:eastAsia="PingFang SC"/>
              <w:b w:val="0"/>
              <w:i w:val="0"/>
              <w:color w:val="5E7480"/>
              <w:sz w:val="16"/>
            </w:rPr>
          </w:r>
          <w:r>
            <w:rPr>
              <w:rFonts w:ascii="Arial" w:hAnsi="Arial" w:eastAsia="PingFang SC"/>
              <w:b w:val="0"/>
              <w:i w:val="0"/>
              <w:color w:val="5E7480"/>
              <w:sz w:val="16"/>
            </w:rPr>
            <w:t xml:space="preserve">第 </w:t>
          </w:r>
          <w:fldSimple w:instr="PAGE"/>
          <w:r>
            <w:rPr>
              <w:rFonts w:ascii="Arial" w:hAnsi="Arial" w:eastAsia="PingFang SC"/>
              <w:b w:val="0"/>
              <w:i w:val="0"/>
              <w:color w:val="5E7480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312" w:lineRule="auto"/>
      <w:jc w:val="left"/>
      <w:pBdr>
        <w:bottom w:val="single" w:sz="8" w:color="0FA3A3"/>
      </w:pBdr>
    </w:pPr>
    <w:r>
      <w:rPr>
        <w:rFonts w:ascii="Arial" w:hAnsi="Arial" w:eastAsia="PingFang SC"/>
        <w:b/>
        <w:i w:val="0"/>
        <w:color w:val="123B56"/>
        <w:sz w:val="17"/>
      </w:rPr>
      <w:t>实时双语字幕插件  ·  模块二 AI 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PingFang SC"/>
      <w:color w:val="2037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23B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0B6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23B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PingFang SC"/>
      <w:b/>
      <w:color w:val="12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测试报告_模块二</dc:title>
  <dc:subject>实时双语字幕插件模块二 AI 测实践</dc:subject>
  <dc:creator>白宇、李承远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