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  <w:r>
        <w:rPr>
          <w:rFonts w:ascii="Arial" w:hAnsi="Arial" w:eastAsia="PingFang SC"/>
          <w:b/>
          <w:i w:val="0"/>
          <w:color w:val="0FA3A3"/>
          <w:sz w:val="18"/>
        </w:rPr>
        <w:t>AUTOMATION GUIDE</w:t>
      </w:r>
    </w:p>
    <w:p>
      <w:pPr>
        <w:spacing w:before="0" w:after="120" w:line="312" w:lineRule="auto"/>
      </w:pPr>
      <w:r>
        <w:rPr>
          <w:rFonts w:ascii="Arial" w:hAnsi="Arial" w:eastAsia="PingFang SC"/>
          <w:b/>
          <w:i w:val="0"/>
          <w:color w:val="123B56"/>
          <w:sz w:val="40"/>
        </w:rPr>
        <w:t>实时双语字幕插件</w:t>
      </w:r>
    </w:p>
    <w:p>
      <w:pPr>
        <w:spacing w:after="280"/>
      </w:pPr>
      <w:r>
        <w:rPr>
          <w:rFonts w:ascii="Arial" w:hAnsi="Arial" w:eastAsia="PingFang SC"/>
          <w:b/>
          <w:i w:val="0"/>
          <w:color w:val="123B56"/>
          <w:sz w:val="60"/>
        </w:rPr>
        <w:t>自动化测试执行说明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2"/>
        <w:gridCol w:w="8957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200" w:after="200"/>
              <w:ind w:left="142" w:right="142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22"/>
              </w:rPr>
              <w:t>给出模块二 24 条自动化用例的安装、一键执行、结果核对、修复前缺陷复现、完整回归和现场演示步骤。全部测试可在本地完成，不需要阿里云密钥。</w:t>
            </w:r>
          </w:p>
        </w:tc>
      </w:tr>
    </w:tbl>
    <w:p>
      <w:pPr>
        <w:spacing w:after="14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030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实践方向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模块二 · 方案2（测试手段含AI）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小组成员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白宇、李承远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贡献比例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各 50%（提交前由成员据实复核）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文档版本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1.0</w:t>
            </w:r>
          </w:p>
        </w:tc>
      </w:tr>
      <w:tr>
        <w:trPr>
          <w:cantSplit w:val="true"/>
          <w:trHeight w:hRule="atLeast" w:val="400"/>
        </w:trPr>
        <w:tc>
          <w:tcPr>
            <w:tcW w:type="dxa" w:w="181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日期</w:t>
            </w:r>
          </w:p>
        </w:tc>
        <w:tc>
          <w:tcPr>
            <w:tcW w:type="dxa" w:w="703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7"/>
              </w:rPr>
              <w:t>2026-09-21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0" w:color="0FA3A3" w:space="4"/>
        </w:pBdr>
      </w:pPr>
      <w:r>
        <w:t>文档修订记录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4535"/>
        <w:gridCol w:w="1701"/>
      </w:tblGrid>
      <w:tr>
        <w:trPr>
          <w:tblHeader w:val="true"/>
        </w:trPr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日期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2381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作者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2026-09-21</w:t>
            </w:r>
          </w:p>
        </w:tc>
        <w:tc>
          <w:tcPr>
            <w:tcW w:type="dxa" w:w="1247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1.0</w:t>
            </w:r>
          </w:p>
        </w:tc>
        <w:tc>
          <w:tcPr>
            <w:tcW w:type="dxa" w:w="453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新增模块二自动化与现场演示说明</w:t>
            </w:r>
          </w:p>
        </w:tc>
        <w:tc>
          <w:tcPr>
            <w:tcW w:type="dxa" w:w="1701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白宇、李承远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内容导航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1 环境准备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2 一键执行与结果核对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3 缺陷复现与修复验证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4 完整回归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5 现场演示建议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6 常见问题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追溯说明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用例、日志、缺陷和文档均以 M2 编号关联；最终统计来自 evidence/summary.json。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0" w:color="0FA3A3" w:space="4"/>
        </w:pBdr>
      </w:pPr>
      <w:r>
        <w:t>1 环境准备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工作目录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source_code/Real-time-translation-plugin-main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Node.js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24 或更高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npm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浏览器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Playwright Chromium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网络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首次安装依赖时需要；测试执行阶段不访问真实云服务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本地权限</w:t>
            </w:r>
          </w:p>
        </w:tc>
        <w:tc>
          <w:tcPr>
            <w:tcW w:type="dxa" w:w="6690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允许127.0.0.1随机端口监听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5"/>
            <w:shd w:fill="F3F6F8"/>
            <w:tcBorders>
              <w:top w:val="single" w:sz="4" w:color="D5E0E5"/>
              <w:left w:val="single" w:sz="4" w:color="D5E0E5"/>
              <w:bottom w:val="single" w:sz="4" w:color="D5E0E5"/>
              <w:right w:val="single" w:sz="4" w:color="D5E0E5"/>
              <w:insideH w:val="single" w:sz="4" w:color="D5E0E5"/>
              <w:insideV w:val="single" w:sz="4" w:color="D5E0E5"/>
            </w:tcBorders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263F4C"/>
                <w:sz w:val="17"/>
              </w:rPr>
              <w:t>cd /Users/whitefish/study/软件测试与实践/source_code/Real-time-translation-plugin-main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npm ci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npx playwright install chromium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安全说明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不要把真实 DASHSCOPE_API_KEY 写入测试命令。模块二使用 fake/provider mock 和本地 WebSocket，不读取 .env。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2 一键执行与结果核对</w:t>
      </w:r>
    </w:p>
    <w:p>
      <w:pPr>
        <w:pStyle w:val="Heading2"/>
      </w:pPr>
      <w:r>
        <w:t>2.1 运行全部24条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5"/>
            <w:shd w:fill="F3F6F8"/>
            <w:tcBorders>
              <w:top w:val="single" w:sz="4" w:color="D5E0E5"/>
              <w:left w:val="single" w:sz="4" w:color="D5E0E5"/>
              <w:bottom w:val="single" w:sz="4" w:color="D5E0E5"/>
              <w:right w:val="single" w:sz="4" w:color="D5E0E5"/>
              <w:insideH w:val="single" w:sz="4" w:color="D5E0E5"/>
              <w:insideV w:val="single" w:sz="4" w:color="D5E0E5"/>
            </w:tcBorders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263F4C"/>
                <w:sz w:val="17"/>
              </w:rPr>
              <w:t>npm run test:module2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命令按固定顺序执行：18 条 Vitest → Chrome 扩展构建 → 6 条 Playwright。预期最终输出“模块二：24/24通过；失败0；跳过0；未执行0”，退出码为0。</w:t>
      </w:r>
    </w:p>
    <w:p>
      <w:pPr>
        <w:pStyle w:val="Heading2"/>
      </w:pPr>
      <w:r>
        <w:t>2.2 runner完整性检查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cases.json 必须按顺序且唯一包含 M2-001～M2-024。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Vitest 与 Playwright 结果中每个 M2 编号必须且只能出现一次。</w:t>
      </w:r>
    </w:p>
    <w:p>
      <w:pPr>
        <w:pStyle w:val="ListBullet"/>
        <w:spacing w:before="0" w:after="60" w:line="312" w:lineRule="auto"/>
        <w:ind w:left="369" w:hanging="142"/>
      </w:pPr>
      <w:r>
        <w:rPr>
          <w:rFonts w:ascii="Arial" w:hAnsi="Arial" w:eastAsia="PingFang SC"/>
          <w:b w:val="0"/>
          <w:i w:val="0"/>
          <w:color w:val="203743"/>
          <w:sz w:val="20"/>
        </w:rPr>
        <w:t>构建失败、用例失败、跳过、未执行、缺失或重复编号均使命令返回非零。</w:t>
      </w:r>
    </w:p>
    <w:p>
      <w:pPr>
        <w:pStyle w:val="Heading2"/>
      </w:pPr>
      <w:r>
        <w:t>2.3 结果文件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4762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路径（tests/module2-ai/results/）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summary.json</w:t>
            </w:r>
          </w:p>
        </w:tc>
        <w:tc>
          <w:tcPr>
            <w:tcW w:type="dxa" w:w="476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最终汇总数据源；24条结果、环境、分布、源码SHA-256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unit.json / unit.log</w:t>
            </w:r>
          </w:p>
        </w:tc>
        <w:tc>
          <w:tcPr>
            <w:tcW w:type="dxa" w:w="476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18条Vitest结果和终端日志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browser.json / browser.log</w:t>
            </w:r>
          </w:p>
        </w:tc>
        <w:tc>
          <w:tcPr>
            <w:tcW w:type="dxa" w:w="476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6条Playwright结果和终端日志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chrome-build.log</w:t>
            </w:r>
          </w:p>
        </w:tc>
        <w:tc>
          <w:tcPr>
            <w:tcW w:type="dxa" w:w="476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实际content.js构建记录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browser-artifacts/</w:t>
            </w:r>
          </w:p>
        </w:tc>
        <w:tc>
          <w:tcPr>
            <w:tcW w:type="dxa" w:w="476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M2-019、M2-022修复后截图和失败时trace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交付记录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deliverables/module2/evidence/ 保存本次最终执行副本。日常重跑会更新源码目录 results，不应覆盖提交前已确认的交付证据。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3 缺陷复现与修复验证</w:t>
      </w:r>
    </w:p>
    <w:p>
      <w:pPr>
        <w:pStyle w:val="Heading2"/>
      </w:pPr>
      <w:r>
        <w:t>3.1 修复前复现（预期失败）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5"/>
            <w:shd w:fill="F3F6F8"/>
            <w:tcBorders>
              <w:top w:val="single" w:sz="4" w:color="D5E0E5"/>
              <w:left w:val="single" w:sz="4" w:color="D5E0E5"/>
              <w:bottom w:val="single" w:sz="4" w:color="D5E0E5"/>
              <w:right w:val="single" w:sz="4" w:color="D5E0E5"/>
              <w:insideH w:val="single" w:sz="4" w:color="D5E0E5"/>
              <w:insideV w:val="single" w:sz="4" w:color="D5E0E5"/>
            </w:tcBorders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263F4C"/>
                <w:sz w:val="17"/>
              </w:rPr>
              <w:t>npm run test:module2:reproduce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npm run test:module2:reproduce -- BUG-M2-001</w:t>
            </w:r>
          </w:p>
          <w:p>
            <w:pPr>
              <w:spacing w:after="0" w:line="252" w:lineRule="auto"/>
            </w:pPr>
            <w:r>
              <w:rPr>
                <w:rFonts w:ascii="Menlo" w:hAnsi="Menlo" w:eastAsia="PingFang SC"/>
                <w:color w:val="263F4C"/>
                <w:sz w:val="17"/>
              </w:rPr>
              <w:t>npm run test:module2:reproduce -- BUG-M2-002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复现脚本复制源码到系统临时目录，依据 original-sources.json 反向恢复修复前片段，只执行 M2-016、M2-019、M2-022，保存日志与浏览器证据后删除临时目录。当前工作区源码不会被改写。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FFF4E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重要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缺陷被成功捕获时命令预期返回非零。这不是复现脚本失败；应核对失败编号与 reproduction.log，不要修改断言让修复前代码通过。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3572"/>
      </w:tblGrid>
      <w:tr>
        <w:trPr>
          <w:tblHeader w:val="true"/>
        </w:trPr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目标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预期失败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all（默认）</w:t>
            </w:r>
          </w:p>
        </w:tc>
        <w:tc>
          <w:tcPr>
            <w:tcW w:type="dxa" w:w="340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两个缺陷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M2-016、M2-019、M2-022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BUG-M2-001</w:t>
            </w:r>
          </w:p>
        </w:tc>
        <w:tc>
          <w:tcPr>
            <w:tcW w:type="dxa" w:w="340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拖拽小数与取消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M2-019、M2-022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BUG-M2-002</w:t>
            </w:r>
          </w:p>
        </w:tc>
        <w:tc>
          <w:tcPr>
            <w:tcW w:type="dxa" w:w="340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未知语言码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M2-016</w:t>
            </w:r>
          </w:p>
        </w:tc>
      </w:tr>
    </w:tbl>
    <w:p>
      <w:pPr>
        <w:spacing w:after="40"/>
      </w:pPr>
    </w:p>
    <w:p>
      <w:pPr>
        <w:pStyle w:val="Heading2"/>
      </w:pPr>
      <w:r>
        <w:t>3.2 修复后验证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5"/>
            <w:shd w:fill="F3F6F8"/>
            <w:tcBorders>
              <w:top w:val="single" w:sz="4" w:color="D5E0E5"/>
              <w:left w:val="single" w:sz="4" w:color="D5E0E5"/>
              <w:bottom w:val="single" w:sz="4" w:color="D5E0E5"/>
              <w:right w:val="single" w:sz="4" w:color="D5E0E5"/>
              <w:insideH w:val="single" w:sz="4" w:color="D5E0E5"/>
              <w:insideV w:val="single" w:sz="4" w:color="D5E0E5"/>
            </w:tcBorders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263F4C"/>
                <w:sz w:val="17"/>
              </w:rPr>
              <w:t>npm run test:module2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检查 M2-016、M2-019、M2-022 及其相邻场景全部通过；summary.json 中 failed、skipped、notRun 均为0。</w:t>
      </w:r>
    </w:p>
    <w:p>
      <w:pPr>
        <w:pStyle w:val="Heading1"/>
        <w:pBdr>
          <w:bottom w:val="single" w:sz="10" w:color="0FA3A3" w:space="4"/>
        </w:pBdr>
      </w:pPr>
      <w:r>
        <w:t>4 完整回归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5"/>
            <w:shd w:fill="F3F6F8"/>
            <w:tcBorders>
              <w:top w:val="single" w:sz="4" w:color="D5E0E5"/>
              <w:left w:val="single" w:sz="4" w:color="D5E0E5"/>
              <w:bottom w:val="single" w:sz="4" w:color="D5E0E5"/>
              <w:right w:val="single" w:sz="4" w:color="D5E0E5"/>
              <w:insideH w:val="single" w:sz="4" w:color="D5E0E5"/>
              <w:insideV w:val="single" w:sz="4" w:color="D5E0E5"/>
            </w:tcBorders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263F4C"/>
                <w:sz w:val="17"/>
              </w:rPr>
              <w:t>npm run test:regression:module2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3572"/>
      </w:tblGrid>
      <w:tr>
        <w:trPr>
          <w:tblHeader w:val="true"/>
        </w:trPr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顺序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175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本次归档结果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</w:t>
            </w:r>
          </w:p>
        </w:tc>
        <w:tc>
          <w:tcPr>
            <w:tcW w:type="dxa" w:w="425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产品工作区类型检查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</w:t>
            </w:r>
          </w:p>
        </w:tc>
        <w:tc>
          <w:tcPr>
            <w:tcW w:type="dxa" w:w="425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模块二类型检查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3</w:t>
            </w:r>
          </w:p>
        </w:tc>
        <w:tc>
          <w:tcPr>
            <w:tcW w:type="dxa" w:w="425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产品单元测试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36通过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4</w:t>
            </w:r>
          </w:p>
        </w:tc>
        <w:tc>
          <w:tcPr>
            <w:tcW w:type="dxa" w:w="425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模块二自动化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24通过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5</w:t>
            </w:r>
          </w:p>
        </w:tc>
        <w:tc>
          <w:tcPr>
            <w:tcW w:type="dxa" w:w="425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Chrome / 网关构建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6</w:t>
            </w:r>
          </w:p>
        </w:tc>
        <w:tc>
          <w:tcPr>
            <w:tcW w:type="dxa" w:w="425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Safari资源构建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7</w:t>
            </w:r>
          </w:p>
        </w:tc>
        <w:tc>
          <w:tcPr>
            <w:tcW w:type="dxa" w:w="425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既有扩展E2E</w:t>
            </w:r>
          </w:p>
        </w:tc>
        <w:tc>
          <w:tcPr>
            <w:tcW w:type="dxa" w:w="3572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3通过、1条真实音频捕获跳过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完整日志位于 deliverables/module2/evidence/regression.log。既有真实音频捕获用例需要用户手势，按原项目设置显式跳过，不计作通过，也不影响模块二24条的0跳过结论。</w:t>
      </w:r>
    </w:p>
    <w:p>
      <w:pPr>
        <w:pStyle w:val="Heading1"/>
        <w:pBdr>
          <w:bottom w:val="single" w:sz="10" w:color="0FA3A3" w:space="4"/>
        </w:pBdr>
      </w:pPr>
      <w:r>
        <w:t>5 现场演示建议</w:t>
      </w:r>
    </w:p>
    <w:p>
      <w:pPr>
        <w:pStyle w:val="Heading2"/>
      </w:pPr>
      <w:r>
        <w:t>5.1 建议顺序（约6～8分钟）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1. </w:t>
      </w:r>
      <w:r>
        <w:rPr>
          <w:rFonts w:ascii="Arial" w:hAnsi="Arial" w:eastAsia="PingFang SC"/>
          <w:b w:val="0"/>
          <w:i w:val="0"/>
          <w:color w:val="203743"/>
          <w:sz w:val="20"/>
        </w:rPr>
        <w:t>介绍插件链路和本轮不访问真实云服务的测试边界。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2. </w:t>
      </w:r>
      <w:r>
        <w:rPr>
          <w:rFonts w:ascii="Arial" w:hAnsi="Arial" w:eastAsia="PingFang SC"/>
          <w:b w:val="0"/>
          <w:i w:val="0"/>
          <w:color w:val="203743"/>
          <w:sz w:val="20"/>
        </w:rPr>
        <w:t>打开测试用例清单，展示 M2-001～024、三种方法和两个缺陷关联。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3. </w:t>
      </w:r>
      <w:r>
        <w:rPr>
          <w:rFonts w:ascii="Arial" w:hAnsi="Arial" w:eastAsia="PingFang SC"/>
          <w:b w:val="0"/>
          <w:i w:val="0"/>
          <w:color w:val="203743"/>
          <w:sz w:val="20"/>
        </w:rPr>
        <w:t>运行 npm run test:module2，展示24/24和summary.json。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4. </w:t>
      </w:r>
      <w:r>
        <w:rPr>
          <w:rFonts w:ascii="Arial" w:hAnsi="Arial" w:eastAsia="PingFang SC"/>
          <w:b w:val="0"/>
          <w:i w:val="0"/>
          <w:color w:val="203743"/>
          <w:sz w:val="20"/>
        </w:rPr>
        <w:t>运行其中一个定向复现命令，解释“预期非零”与临时源码副本。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5. </w:t>
      </w:r>
      <w:r>
        <w:rPr>
          <w:rFonts w:ascii="Arial" w:hAnsi="Arial" w:eastAsia="PingFang SC"/>
          <w:b w:val="0"/>
          <w:i w:val="0"/>
          <w:color w:val="203743"/>
          <w:sz w:val="20"/>
        </w:rPr>
        <w:t>展示 repair.patch 中对应修复，再重新运行目标或全部模块二测试。</w:t>
      </w:r>
    </w:p>
    <w:p>
      <w:pPr>
        <w:spacing w:before="0" w:after="60" w:line="312" w:lineRule="auto"/>
        <w:ind w:left="369" w:hanging="255"/>
      </w:pPr>
      <w:r>
        <w:rPr>
          <w:rFonts w:ascii="Arial" w:hAnsi="Arial" w:eastAsia="PingFang SC"/>
          <w:b/>
          <w:i w:val="0"/>
          <w:color w:val="0FA3A3"/>
          <w:sz w:val="20"/>
        </w:rPr>
        <w:t xml:space="preserve">6. </w:t>
      </w:r>
      <w:r>
        <w:rPr>
          <w:rFonts w:ascii="Arial" w:hAnsi="Arial" w:eastAsia="PingFang SC"/>
          <w:b w:val="0"/>
          <w:i w:val="0"/>
          <w:color w:val="203743"/>
          <w:sz w:val="20"/>
        </w:rPr>
        <w:t>用成果汇报最后两页说明AI局限、人工修正和后续验收。</w:t>
      </w:r>
    </w:p>
    <w:p>
      <w:pPr>
        <w:pStyle w:val="Heading2"/>
      </w:pPr>
      <w:r>
        <w:t>5.2 可选本地功能展示</w:t>
      </w:r>
    </w:p>
    <w:p>
      <w:pPr>
        <w:spacing w:before="0" w:after="120" w:line="312" w:lineRule="auto"/>
      </w:pPr>
      <w:r>
        <w:rPr>
          <w:rFonts w:ascii="Arial" w:hAnsi="Arial" w:eastAsia="PingFang SC"/>
          <w:b w:val="0"/>
          <w:i w:val="0"/>
          <w:color w:val="203743"/>
          <w:sz w:val="21"/>
        </w:rPr>
        <w:t>若需要展示真实扩展界面，可先执行 npm run build:chrome，在 chrome://extensions 启用开发者模式并加载 apps/extension/dist。模块二自动化演示本身不需要启动真实Gummy或配置云端令牌。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"/>
        <w:gridCol w:w="9014"/>
      </w:tblGrid>
      <w:tr>
        <w:tc>
          <w:tcPr>
            <w:tcW w:type="dxa" w:w="4762"/>
            <w:shd w:fill="0FA3A3"/>
          </w:tcPr>
          <w:p/>
        </w:tc>
        <w:tc>
          <w:tcPr>
            <w:tcW w:type="dxa" w:w="4762"/>
            <w:shd w:fill="E8F6F6"/>
          </w:tcPr>
          <w:p>
            <w:pPr>
              <w:spacing w:before="120" w:after="120"/>
              <w:ind w:left="113"/>
            </w:pPr>
            <w:r>
              <w:rPr>
                <w:rFonts w:ascii="Arial" w:hAnsi="Arial" w:eastAsia="PingFang SC"/>
                <w:b/>
                <w:i w:val="0"/>
                <w:color w:val="123B56"/>
                <w:sz w:val="20"/>
              </w:rPr>
              <w:t xml:space="preserve">演示重点  </w:t>
            </w:r>
            <w:r>
              <w:rPr>
                <w:rFonts w:ascii="Arial" w:hAnsi="Arial" w:eastAsia="PingFang SC"/>
                <w:b w:val="0"/>
                <w:i w:val="0"/>
                <w:color w:val="203743"/>
                <w:sz w:val="20"/>
              </w:rPr>
              <w:t>用例和缺陷要按 M2 编号追溯；区分“修复前复现命令预期非零”与“修复后测试必须返回0”。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color="0FA3A3" w:space="4"/>
        </w:pBdr>
      </w:pPr>
      <w:r>
        <w:t>6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5499"/>
      </w:tblGrid>
      <w:tr>
        <w:trPr>
          <w:tblHeader w:val="true"/>
        </w:trPr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现象</w:t>
            </w:r>
          </w:p>
        </w:tc>
        <w:tc>
          <w:tcPr>
            <w:tcW w:type="dxa" w:w="4762"/>
            <w:shd w:fill="123B56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/>
                <w:i w:val="0"/>
                <w:color w:val="FFFFFF"/>
                <w:sz w:val="19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找不到vitest或工作区包</w:t>
            </w:r>
          </w:p>
        </w:tc>
        <w:tc>
          <w:tcPr>
            <w:tcW w:type="dxa" w:w="549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确认在源码工程根目录执行 npm ci。</w:t>
            </w:r>
          </w:p>
        </w:tc>
      </w:tr>
      <w:tr>
        <w:trPr>
          <w:cantSplit w:val="true"/>
        </w:trPr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Chromium executable不存在</w:t>
            </w:r>
          </w:p>
        </w:tc>
        <w:tc>
          <w:tcPr>
            <w:tcW w:type="dxa" w:w="549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执行 npx playwright install chromium。</w:t>
            </w:r>
          </w:p>
        </w:tc>
      </w:tr>
      <w:tr>
        <w:trPr>
          <w:cantSplit w:val="true"/>
        </w:trPr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复现命令返回1</w:t>
            </w:r>
          </w:p>
        </w:tc>
        <w:tc>
          <w:tcPr>
            <w:tcW w:type="dxa" w:w="549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这是预期；核对失败用例是否为M2-016/019/022。</w:t>
            </w:r>
          </w:p>
        </w:tc>
      </w:tr>
      <w:tr>
        <w:trPr>
          <w:cantSplit w:val="true"/>
        </w:trPr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127.0.0.1端口错误</w:t>
            </w:r>
          </w:p>
        </w:tc>
        <w:tc>
          <w:tcPr>
            <w:tcW w:type="dxa" w:w="549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检查安全软件；测试使用随机端口，不要求8787空闲。</w:t>
            </w:r>
          </w:p>
        </w:tc>
      </w:tr>
      <w:tr>
        <w:trPr>
          <w:cantSplit w:val="true"/>
        </w:trPr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summary显示not-run</w:t>
            </w:r>
          </w:p>
        </w:tc>
        <w:tc>
          <w:tcPr>
            <w:tcW w:type="dxa" w:w="549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检查Chrome构建和browser.json；runner会返回非零。</w:t>
            </w:r>
          </w:p>
        </w:tc>
      </w:tr>
      <w:tr>
        <w:trPr>
          <w:cantSplit w:val="true"/>
        </w:trPr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完整回归显示1 skipped</w:t>
            </w:r>
          </w:p>
        </w:tc>
        <w:tc>
          <w:tcPr>
            <w:tcW w:type="dxa" w:w="549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shd w:fill="F7FAFB"/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来自既有真实音频E2E；不属于模块二24条。</w:t>
            </w:r>
          </w:p>
        </w:tc>
      </w:tr>
      <w:tr>
        <w:trPr>
          <w:cantSplit w:val="true"/>
        </w:trPr>
        <w:tc>
          <w:tcPr>
            <w:tcW w:type="dxa" w:w="3458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想验证识别准确率</w:t>
            </w:r>
          </w:p>
        </w:tc>
        <w:tc>
          <w:tcPr>
            <w:tcW w:type="dxa" w:w="5499"/>
            <w:tcBorders>
              <w:top w:val="single" w:sz="4" w:color="C8D5DC"/>
              <w:left w:val="single" w:sz="4" w:color="C8D5DC"/>
              <w:bottom w:val="single" w:sz="4" w:color="C8D5DC"/>
              <w:right w:val="single" w:sz="4" w:color="C8D5DC"/>
              <w:insideH w:val="single" w:sz="4" w:color="C8D5DC"/>
              <w:insideV w:val="single" w:sz="4" w:color="C8D5DC"/>
            </w:tcBorders>
            <w:vAlign w:val="top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PingFang SC"/>
                <w:b w:val="0"/>
                <w:i w:val="0"/>
                <w:color w:val="203743"/>
                <w:sz w:val="18"/>
              </w:rPr>
              <w:t>需要另行配置真实云服务和音频语料，不在本交付范围。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2268"/>
      <w:gridCol w:w="2438"/>
    </w:tblGrid>
    <w:tr>
      <w:tc>
        <w:tcPr>
          <w:tcW w:type="dxa" w:w="3175"/>
          <w:tcMar/>
        </w:tcPr>
        <w:p>
          <w:pPr>
            <w:jc w:val="left"/>
          </w:pPr>
          <w:r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>自动化测试执行说明</w:t>
          </w:r>
        </w:p>
      </w:tc>
      <w:tc>
        <w:tcPr>
          <w:tcW w:type="dxa" w:w="3175"/>
          <w:tcMar/>
        </w:tcPr>
        <w:p>
          <w:pPr>
            <w:jc w:val="center"/>
          </w:pPr>
          <w:r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>版本 1.0</w:t>
          </w:r>
        </w:p>
      </w:tc>
      <w:tc>
        <w:tcPr>
          <w:tcW w:type="dxa" w:w="3175"/>
          <w:tcMar/>
        </w:tcPr>
        <w:p>
          <w:pPr>
            <w:jc w:val="right"/>
          </w:pP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</w: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</w:r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 xml:space="preserve">第 </w:t>
          </w:r>
          <w:fldSimple w:instr="PAGE"/>
          <w:r>
            <w:rPr>
              <w:rFonts w:ascii="Arial" w:hAnsi="Arial" w:eastAsia="PingFang SC"/>
              <w:b w:val="0"/>
              <w:i w:val="0"/>
              <w:color w:val="5E7480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312" w:lineRule="auto"/>
      <w:jc w:val="left"/>
      <w:pBdr>
        <w:bottom w:val="single" w:sz="8" w:color="0FA3A3"/>
      </w:pBdr>
    </w:pPr>
    <w:r>
      <w:rPr>
        <w:rFonts w:ascii="Arial" w:hAnsi="Arial" w:eastAsia="PingFang SC"/>
        <w:b/>
        <w:i w:val="0"/>
        <w:color w:val="123B56"/>
        <w:sz w:val="17"/>
      </w:rPr>
      <w:t>实时双语字幕插件  ·  模块二 AI 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PingFang SC"/>
      <w:color w:val="2037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23B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B6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23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/>
      <w:b/>
      <w:color w:val="12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自动化测试执行说明</dc:title>
  <dc:subject>实时双语字幕插件模块二 AI 测实践</dc:subject>
  <dc:creator>白宇、李承远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