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0376D">
      <w:pPr>
        <w:spacing w:line="312" w:lineRule="auto"/>
        <w:jc w:val="center"/>
        <w:rPr>
          <w:sz w:val="72"/>
          <w:szCs w:val="72"/>
        </w:rPr>
      </w:pPr>
    </w:p>
    <w:p w14:paraId="63EAFD1A">
      <w:pPr>
        <w:spacing w:line="312" w:lineRule="auto"/>
        <w:jc w:val="center"/>
        <w:rPr>
          <w:sz w:val="72"/>
          <w:szCs w:val="72"/>
        </w:rPr>
      </w:pPr>
    </w:p>
    <w:p w14:paraId="48FCCA9A">
      <w:pPr>
        <w:spacing w:line="312" w:lineRule="auto"/>
        <w:jc w:val="center"/>
        <w:rPr>
          <w:sz w:val="72"/>
          <w:szCs w:val="72"/>
        </w:rPr>
      </w:pPr>
    </w:p>
    <w:p w14:paraId="24F54EF6">
      <w:pPr>
        <w:keepLines/>
        <w:spacing w:line="312" w:lineRule="auto"/>
        <w:jc w:val="center"/>
        <w:rPr>
          <w:rFonts w:eastAsia="黑体"/>
          <w:b/>
          <w:bCs/>
          <w:i/>
          <w:color w:val="000000"/>
          <w:sz w:val="72"/>
          <w:szCs w:val="72"/>
        </w:rPr>
      </w:pPr>
      <w:r>
        <w:rPr>
          <w:rFonts w:eastAsia="黑体"/>
          <w:b/>
          <w:bCs/>
          <w:i/>
          <w:color w:val="000000"/>
          <w:sz w:val="72"/>
          <w:szCs w:val="72"/>
        </w:rPr>
        <w:t>实时双语字幕插件</w:t>
      </w:r>
    </w:p>
    <w:p w14:paraId="71E3051C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2D4809E5">
      <w:pPr>
        <w:keepLines/>
        <w:spacing w:line="312" w:lineRule="auto"/>
        <w:jc w:val="center"/>
        <w:rPr>
          <w:rFonts w:eastAsia="黑体"/>
          <w:b/>
          <w:bCs/>
          <w:sz w:val="48"/>
          <w:szCs w:val="48"/>
        </w:rPr>
      </w:pPr>
      <w:r>
        <w:rPr>
          <w:rFonts w:eastAsia="黑体"/>
          <w:b/>
          <w:bCs/>
          <w:sz w:val="48"/>
          <w:szCs w:val="48"/>
        </w:rPr>
        <w:t>测试报告（模块一）</w:t>
      </w:r>
    </w:p>
    <w:p w14:paraId="3FB06072">
      <w:pPr>
        <w:spacing w:line="312" w:lineRule="auto"/>
        <w:jc w:val="center"/>
        <w:rPr>
          <w:sz w:val="48"/>
          <w:szCs w:val="48"/>
        </w:rPr>
      </w:pPr>
    </w:p>
    <w:p w14:paraId="6C70CF7A">
      <w:pPr>
        <w:spacing w:line="312" w:lineRule="auto"/>
        <w:jc w:val="center"/>
        <w:rPr>
          <w:sz w:val="48"/>
          <w:szCs w:val="48"/>
        </w:rPr>
      </w:pPr>
    </w:p>
    <w:p w14:paraId="3ED461E6">
      <w:pPr>
        <w:spacing w:line="312" w:lineRule="auto"/>
        <w:jc w:val="center"/>
        <w:rPr>
          <w:sz w:val="48"/>
          <w:szCs w:val="48"/>
        </w:rPr>
      </w:pPr>
    </w:p>
    <w:p w14:paraId="74BC81A7">
      <w:pPr>
        <w:spacing w:line="312" w:lineRule="auto"/>
        <w:jc w:val="center"/>
        <w:rPr>
          <w:sz w:val="48"/>
          <w:szCs w:val="48"/>
        </w:rPr>
      </w:pPr>
    </w:p>
    <w:p w14:paraId="7EC6E058">
      <w:pPr>
        <w:spacing w:line="312" w:lineRule="auto"/>
        <w:jc w:val="center"/>
        <w:rPr>
          <w:sz w:val="48"/>
          <w:szCs w:val="48"/>
        </w:rPr>
      </w:pPr>
    </w:p>
    <w:p w14:paraId="2E9999C3">
      <w:pPr>
        <w:spacing w:line="312" w:lineRule="auto"/>
        <w:jc w:val="center"/>
        <w:rPr>
          <w:sz w:val="48"/>
          <w:szCs w:val="48"/>
        </w:rPr>
      </w:pPr>
    </w:p>
    <w:p w14:paraId="55ACA92D">
      <w:pPr>
        <w:spacing w:line="312" w:lineRule="auto"/>
        <w:jc w:val="center"/>
        <w:rPr>
          <w:sz w:val="48"/>
          <w:szCs w:val="48"/>
        </w:rPr>
      </w:pPr>
    </w:p>
    <w:p w14:paraId="5BE30D4B">
      <w:pPr>
        <w:spacing w:line="312" w:lineRule="auto"/>
        <w:jc w:val="center"/>
        <w:rPr>
          <w:sz w:val="48"/>
          <w:szCs w:val="48"/>
        </w:rPr>
      </w:pPr>
    </w:p>
    <w:p w14:paraId="3081F04E">
      <w:pPr>
        <w:spacing w:line="312" w:lineRule="auto"/>
        <w:rPr>
          <w:sz w:val="48"/>
          <w:szCs w:val="48"/>
        </w:rPr>
      </w:pPr>
    </w:p>
    <w:tbl>
      <w:tblPr>
        <w:tblStyle w:val="10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3B122324"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03ECB60F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2B110922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47983338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34F1CB54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19B60681">
        <w:trPr>
          <w:trHeight w:val="375" w:hRule="atLeast"/>
          <w:jc w:val="center"/>
        </w:trPr>
        <w:tc>
          <w:tcPr>
            <w:tcW w:w="1427" w:type="dxa"/>
            <w:vAlign w:val="center"/>
          </w:tcPr>
          <w:p w14:paraId="41DAFCD0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2026-09-15</w:t>
            </w:r>
          </w:p>
        </w:tc>
        <w:tc>
          <w:tcPr>
            <w:tcW w:w="1260" w:type="dxa"/>
            <w:vAlign w:val="center"/>
          </w:tcPr>
          <w:p w14:paraId="09217E26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2.1</w:t>
            </w:r>
          </w:p>
        </w:tc>
        <w:tc>
          <w:tcPr>
            <w:tcW w:w="3600" w:type="dxa"/>
            <w:vAlign w:val="center"/>
          </w:tcPr>
          <w:p w14:paraId="64F12F53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模块一测试报告定稿</w:t>
            </w:r>
          </w:p>
        </w:tc>
        <w:tc>
          <w:tcPr>
            <w:tcW w:w="1138" w:type="dxa"/>
            <w:vAlign w:val="center"/>
          </w:tcPr>
          <w:p w14:paraId="13B173D9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白宇</w:t>
            </w:r>
          </w:p>
          <w:p w14:paraId="57A72506">
            <w:pPr>
              <w:spacing w:line="312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李承远</w:t>
            </w:r>
          </w:p>
        </w:tc>
      </w:tr>
      <w:tr w14:paraId="7DA8D60C">
        <w:trPr>
          <w:trHeight w:val="342" w:hRule="atLeast"/>
          <w:jc w:val="center"/>
        </w:trPr>
        <w:tc>
          <w:tcPr>
            <w:tcW w:w="1427" w:type="dxa"/>
            <w:vAlign w:val="center"/>
          </w:tcPr>
          <w:p w14:paraId="77243EF4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44900A6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4EC03AF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4D562A7D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3E72AD28">
        <w:trPr>
          <w:trHeight w:val="338" w:hRule="atLeast"/>
          <w:jc w:val="center"/>
        </w:trPr>
        <w:tc>
          <w:tcPr>
            <w:tcW w:w="1427" w:type="dxa"/>
            <w:vAlign w:val="center"/>
          </w:tcPr>
          <w:p w14:paraId="512885FE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1AA93007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7A42C5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204627D4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76B9A6A9">
        <w:trPr>
          <w:trHeight w:val="362" w:hRule="atLeast"/>
          <w:jc w:val="center"/>
        </w:trPr>
        <w:tc>
          <w:tcPr>
            <w:tcW w:w="1427" w:type="dxa"/>
            <w:vAlign w:val="center"/>
          </w:tcPr>
          <w:p w14:paraId="5069B9C3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03084CB4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70734737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1180012C">
            <w:pPr>
              <w:spacing w:line="312" w:lineRule="auto"/>
              <w:jc w:val="center"/>
              <w:rPr>
                <w:szCs w:val="21"/>
              </w:rPr>
            </w:pPr>
          </w:p>
        </w:tc>
      </w:tr>
    </w:tbl>
    <w:p w14:paraId="4B3B8BA4">
      <w:pPr>
        <w:pStyle w:val="8"/>
        <w:spacing w:line="312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669024C">
      <w:pPr>
        <w:keepLines/>
        <w:spacing w:line="312" w:lineRule="auto"/>
        <w:jc w:val="center"/>
        <w:rPr>
          <w:rFonts w:eastAsia="黑体"/>
          <w:b/>
          <w:sz w:val="28"/>
          <w:szCs w:val="28"/>
        </w:rPr>
      </w:pPr>
      <w:r>
        <w:rPr>
          <w:rFonts w:eastAsia="黑体"/>
          <w:b/>
          <w:sz w:val="28"/>
          <w:szCs w:val="28"/>
        </w:rPr>
        <w:t>目  录</w:t>
      </w:r>
    </w:p>
    <w:p w14:paraId="6217AFDB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fldChar w:fldCharType="begin"/>
      </w:r>
      <w:r>
        <w:instrText xml:space="preserve"> HYPERLINK \l "_Toc239671766" </w:instrText>
      </w:r>
      <w:r>
        <w:fldChar w:fldCharType="separate"/>
      </w:r>
      <w:r>
        <w:rPr>
          <w:rStyle w:val="15"/>
        </w:rPr>
        <w:t>1 被测对象概述</w:t>
      </w:r>
      <w:r>
        <w:tab/>
      </w:r>
      <w:r>
        <w:fldChar w:fldCharType="begin"/>
      </w:r>
      <w:r>
        <w:instrText xml:space="preserve"> PAGEREF _Toc239671766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1C25B52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fldChar w:fldCharType="begin"/>
      </w:r>
      <w:r>
        <w:instrText xml:space="preserve"> HYPERLINK \l "_Toc239671767" </w:instrText>
      </w:r>
      <w:r>
        <w:fldChar w:fldCharType="separate"/>
      </w:r>
      <w:r>
        <w:rPr>
          <w:rStyle w:val="15"/>
        </w:rPr>
        <w:t>2 测试计划与策略</w:t>
      </w:r>
      <w:r>
        <w:tab/>
      </w:r>
      <w:r>
        <w:fldChar w:fldCharType="begin"/>
      </w:r>
      <w:r>
        <w:instrText xml:space="preserve"> PAGEREF _Toc239671767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58362ECE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"_Toc239671768" </w:instrText>
      </w:r>
      <w:r>
        <w:fldChar w:fldCharType="separate"/>
      </w:r>
      <w:r>
        <w:rPr>
          <w:rStyle w:val="15"/>
        </w:rPr>
        <w:t>2.1 测试范围</w:t>
      </w:r>
      <w:r>
        <w:tab/>
      </w:r>
      <w:r>
        <w:fldChar w:fldCharType="begin"/>
      </w:r>
      <w:r>
        <w:instrText xml:space="preserve"> PAGEREF _Toc239671768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1AE82C2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"_Toc239671769" </w:instrText>
      </w:r>
      <w:r>
        <w:fldChar w:fldCharType="separate"/>
      </w:r>
      <w:r>
        <w:rPr>
          <w:rStyle w:val="15"/>
        </w:rPr>
        <w:t>2.2 测试策略</w:t>
      </w:r>
      <w:r>
        <w:tab/>
      </w:r>
      <w:r>
        <w:fldChar w:fldCharType="begin"/>
      </w:r>
      <w:r>
        <w:instrText xml:space="preserve"> PAGEREF _Toc239671769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EDB11DD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"_Toc239671770" </w:instrText>
      </w:r>
      <w:r>
        <w:fldChar w:fldCharType="separate"/>
      </w:r>
      <w:r>
        <w:rPr>
          <w:rStyle w:val="15"/>
        </w:rPr>
        <w:t>2.3 测试环境</w:t>
      </w:r>
      <w:r>
        <w:tab/>
      </w:r>
      <w:r>
        <w:fldChar w:fldCharType="begin"/>
      </w:r>
      <w:r>
        <w:instrText xml:space="preserve"> PAGEREF _Toc239671770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5490668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fldChar w:fldCharType="begin"/>
      </w:r>
      <w:r>
        <w:instrText xml:space="preserve"> HYPERLINK \l "_Toc239671771" </w:instrText>
      </w:r>
      <w:r>
        <w:fldChar w:fldCharType="separate"/>
      </w:r>
      <w:r>
        <w:rPr>
          <w:rStyle w:val="15"/>
        </w:rPr>
        <w:t>3 测试用例设计</w:t>
      </w:r>
      <w:r>
        <w:tab/>
      </w:r>
      <w:r>
        <w:fldChar w:fldCharType="begin"/>
      </w:r>
      <w:r>
        <w:instrText xml:space="preserve"> PAGEREF _Toc239671771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D878352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"_Toc239671772" </w:instrText>
      </w:r>
      <w:r>
        <w:fldChar w:fldCharType="separate"/>
      </w:r>
      <w:r>
        <w:rPr>
          <w:rStyle w:val="15"/>
        </w:rPr>
        <w:t>3.1 用例总览</w:t>
      </w:r>
      <w:r>
        <w:tab/>
      </w:r>
      <w:r>
        <w:fldChar w:fldCharType="begin"/>
      </w:r>
      <w:r>
        <w:instrText xml:space="preserve"> PAGEREF _Toc239671772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2C5BBD4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"_Toc239671773" </w:instrText>
      </w:r>
      <w:r>
        <w:fldChar w:fldCharType="separate"/>
      </w:r>
      <w:r>
        <w:rPr>
          <w:rStyle w:val="15"/>
        </w:rPr>
        <w:t>3.2 典型用例分析</w:t>
      </w:r>
      <w:r>
        <w:tab/>
      </w:r>
      <w:r>
        <w:fldChar w:fldCharType="begin"/>
      </w:r>
      <w:r>
        <w:instrText xml:space="preserve"> PAGEREF _Toc239671773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6C38217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"_Toc239671774" </w:instrText>
      </w:r>
      <w:r>
        <w:fldChar w:fldCharType="separate"/>
      </w:r>
      <w:r>
        <w:rPr>
          <w:rStyle w:val="15"/>
        </w:rPr>
        <w:t>3.3 用例分布</w:t>
      </w:r>
      <w:r>
        <w:tab/>
      </w:r>
      <w:r>
        <w:fldChar w:fldCharType="begin"/>
      </w:r>
      <w:r>
        <w:instrText xml:space="preserve"> PAGEREF _Toc239671774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75629088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fldChar w:fldCharType="begin"/>
      </w:r>
      <w:r>
        <w:instrText xml:space="preserve"> HYPERLINK \l "_Toc239671775" </w:instrText>
      </w:r>
      <w:r>
        <w:fldChar w:fldCharType="separate"/>
      </w:r>
      <w:r>
        <w:rPr>
          <w:rStyle w:val="15"/>
        </w:rPr>
        <w:t>4 自动化测试实现</w:t>
      </w:r>
      <w:r>
        <w:tab/>
      </w:r>
      <w:r>
        <w:fldChar w:fldCharType="begin"/>
      </w:r>
      <w:r>
        <w:instrText xml:space="preserve"> PAGEREF _Toc239671775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14FABFD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"_Toc239671776" </w:instrText>
      </w:r>
      <w:r>
        <w:fldChar w:fldCharType="separate"/>
      </w:r>
      <w:r>
        <w:rPr>
          <w:rStyle w:val="15"/>
        </w:rPr>
        <w:t>4.1 测试框架与架构</w:t>
      </w:r>
      <w:r>
        <w:tab/>
      </w:r>
      <w:r>
        <w:fldChar w:fldCharType="begin"/>
      </w:r>
      <w:r>
        <w:instrText xml:space="preserve"> PAGEREF _Toc239671776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885E90B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"_Toc239671777" </w:instrText>
      </w:r>
      <w:r>
        <w:fldChar w:fldCharType="separate"/>
      </w:r>
      <w:r>
        <w:rPr>
          <w:rStyle w:val="15"/>
        </w:rPr>
        <w:t>4.2 关键实现说明</w:t>
      </w:r>
      <w:r>
        <w:tab/>
      </w:r>
      <w:r>
        <w:fldChar w:fldCharType="begin"/>
      </w:r>
      <w:r>
        <w:instrText xml:space="preserve"> PAGEREF _Toc239671777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44A268F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fldChar w:fldCharType="begin"/>
      </w:r>
      <w:r>
        <w:instrText xml:space="preserve"> HYPERLINK \l "_Toc239671778" </w:instrText>
      </w:r>
      <w:r>
        <w:fldChar w:fldCharType="separate"/>
      </w:r>
      <w:r>
        <w:rPr>
          <w:rStyle w:val="15"/>
        </w:rPr>
        <w:t>5 执行结果与缺陷</w:t>
      </w:r>
      <w:r>
        <w:tab/>
      </w:r>
      <w:r>
        <w:fldChar w:fldCharType="begin"/>
      </w:r>
      <w:r>
        <w:instrText xml:space="preserve"> PAGEREF _Toc239671778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BB61471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"_Toc239671779" </w:instrText>
      </w:r>
      <w:r>
        <w:fldChar w:fldCharType="separate"/>
      </w:r>
      <w:r>
        <w:rPr>
          <w:rStyle w:val="15"/>
        </w:rPr>
        <w:t>5.1 执行结果</w:t>
      </w:r>
      <w:r>
        <w:tab/>
      </w:r>
      <w:r>
        <w:fldChar w:fldCharType="begin"/>
      </w:r>
      <w:r>
        <w:instrText xml:space="preserve"> PAGEREF _Toc239671779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33AFA62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"_Toc239671780" </w:instrText>
      </w:r>
      <w:r>
        <w:fldChar w:fldCharType="separate"/>
      </w:r>
      <w:r>
        <w:rPr>
          <w:rStyle w:val="15"/>
        </w:rPr>
        <w:t>5.2 缺陷摘要</w:t>
      </w:r>
      <w:r>
        <w:tab/>
      </w:r>
      <w:r>
        <w:fldChar w:fldCharType="begin"/>
      </w:r>
      <w:r>
        <w:instrText xml:space="preserve"> PAGEREF _Toc239671780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18A45872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"_Toc239671781" </w:instrText>
      </w:r>
      <w:r>
        <w:fldChar w:fldCharType="separate"/>
      </w:r>
      <w:r>
        <w:rPr>
          <w:rStyle w:val="15"/>
        </w:rPr>
        <w:t>5.3 典型缺陷根因分析</w:t>
      </w:r>
      <w:r>
        <w:tab/>
      </w:r>
      <w:r>
        <w:fldChar w:fldCharType="begin"/>
      </w:r>
      <w:r>
        <w:instrText xml:space="preserve"> PAGEREF _Toc239671781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3E1D4E5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"_Toc239671782" </w:instrText>
      </w:r>
      <w:r>
        <w:fldChar w:fldCharType="separate"/>
      </w:r>
      <w:r>
        <w:rPr>
          <w:rStyle w:val="15"/>
        </w:rPr>
        <w:t>5.4 质量评估结论</w:t>
      </w:r>
      <w:r>
        <w:tab/>
      </w:r>
      <w:r>
        <w:fldChar w:fldCharType="begin"/>
      </w:r>
      <w:r>
        <w:instrText xml:space="preserve"> PAGEREF _Toc239671782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9B139F8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fldChar w:fldCharType="begin"/>
      </w:r>
      <w:r>
        <w:instrText xml:space="preserve"> HYPERLINK \l "_Toc239671783" </w:instrText>
      </w:r>
      <w:r>
        <w:fldChar w:fldCharType="separate"/>
      </w:r>
      <w:r>
        <w:rPr>
          <w:rStyle w:val="15"/>
        </w:rPr>
        <w:t>6 小组成员贡献度</w:t>
      </w:r>
      <w:r>
        <w:tab/>
      </w:r>
      <w:r>
        <w:fldChar w:fldCharType="begin"/>
      </w:r>
      <w:r>
        <w:instrText xml:space="preserve"> PAGEREF _Toc239671783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5E3E6CB">
      <w:pPr>
        <w:pStyle w:val="8"/>
        <w:spacing w:line="312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 w:val="0"/>
          <w:bCs w:val="0"/>
          <w:caps w:val="0"/>
          <w:sz w:val="44"/>
        </w:rPr>
        <w:fldChar w:fldCharType="end"/>
      </w:r>
    </w:p>
    <w:p w14:paraId="0319CBCC">
      <w:pPr>
        <w:pStyle w:val="2"/>
        <w:keepLines/>
        <w:spacing w:before="240" w:after="240" w:line="312" w:lineRule="auto"/>
        <w:rPr>
          <w:sz w:val="28"/>
          <w:szCs w:val="28"/>
        </w:rPr>
      </w:pPr>
      <w:bookmarkStart w:id="0" w:name="_Toc239671766"/>
      <w:r>
        <w:rPr>
          <w:sz w:val="28"/>
          <w:szCs w:val="28"/>
        </w:rPr>
        <w:t>1 被测对象概述</w:t>
      </w:r>
      <w:bookmarkEnd w:id="0"/>
    </w:p>
    <w:p w14:paraId="7AA79872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被测软件为实时双语字幕插件0.1.0。浏览器捕获音频，经PCM处理和WebSocket网关识别、翻译后显示双语字幕。架构由共享协议包、Chrome扩展、Node.js网关和Safari宿主组成。</w:t>
      </w:r>
    </w:p>
    <w:p w14:paraId="6E100994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关键模块及源码规模：protocol.ts（182行）负责协议与设置校验；subtitles.ts（48行）合并字幕状态；downsample.ts（40行）处理音频降采样；realtime-client.ts（154行）管理连接与缓存；server.ts（236行）处理网关会话；content.ts（184行）显示字幕。行数含空行和注释。</w:t>
      </w:r>
    </w:p>
    <w:p w14:paraId="104F8C5D">
      <w:pPr>
        <w:pStyle w:val="2"/>
        <w:keepLines/>
        <w:spacing w:before="240" w:after="240" w:line="312" w:lineRule="auto"/>
        <w:rPr>
          <w:sz w:val="28"/>
          <w:szCs w:val="28"/>
        </w:rPr>
      </w:pPr>
      <w:bookmarkStart w:id="1" w:name="_Toc239671767"/>
      <w:r>
        <w:rPr>
          <w:sz w:val="28"/>
          <w:szCs w:val="28"/>
        </w:rPr>
        <w:t>2 测试计划与策略</w:t>
      </w:r>
      <w:bookmarkEnd w:id="1"/>
    </w:p>
    <w:p w14:paraId="1EAC3553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2" w:name="_Toc239671768"/>
      <w:r>
        <w:rPr>
          <w:rFonts w:ascii="Times New Roman" w:hAnsi="Times New Roman"/>
          <w:sz w:val="24"/>
          <w:szCs w:val="24"/>
        </w:rPr>
        <w:t>2.1 测试范围</w:t>
      </w:r>
      <w:bookmarkEnd w:id="2"/>
    </w:p>
    <w:tbl>
      <w:tblPr>
        <w:tblStyle w:val="10"/>
        <w:tblW w:w="836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3"/>
        <w:gridCol w:w="6531"/>
      </w:tblGrid>
      <w:tr w14:paraId="7AA936BF">
        <w:trPr>
          <w:tblHeader/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4FAC5C">
            <w:pPr>
              <w:widowControl/>
              <w:spacing w:line="312" w:lineRule="auto"/>
              <w:jc w:val="center"/>
              <w:rPr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00"/>
                <w:kern w:val="0"/>
                <w:sz w:val="18"/>
                <w:szCs w:val="18"/>
              </w:rPr>
              <w:t>项目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93FEF7">
            <w:pPr>
              <w:widowControl/>
              <w:spacing w:line="312" w:lineRule="auto"/>
              <w:jc w:val="center"/>
              <w:rPr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00"/>
                <w:kern w:val="0"/>
                <w:sz w:val="18"/>
                <w:szCs w:val="18"/>
              </w:rPr>
              <w:t>说明</w:t>
            </w:r>
          </w:p>
        </w:tc>
      </w:tr>
      <w:tr w14:paraId="54F0F11A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A6489A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本次测试覆盖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3C28AB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设置校验、音频处理、字幕状态、客户端连接、本地网关会话及Chrome交互。</w:t>
            </w:r>
          </w:p>
        </w:tc>
      </w:tr>
      <w:tr w14:paraId="00F710D0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EA38AF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本次测试不覆盖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7A956B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真实音频采集全流程、云端识别翻译准确率与延迟、Safari原生宿主及签名。</w:t>
            </w:r>
          </w:p>
        </w:tc>
      </w:tr>
      <w:tr w14:paraId="0266C838">
        <w:trPr>
          <w:jc w:val="center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5E89408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不覆盖原因</w:t>
            </w:r>
          </w:p>
        </w:tc>
        <w:tc>
          <w:tcPr>
            <w:tcW w:w="653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F8A560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本轮使用固定数据与本地fake服务；真实采集涉及用户授权，云端效果及Safari宿主需独立环境验收。</w:t>
            </w:r>
          </w:p>
        </w:tc>
      </w:tr>
    </w:tbl>
    <w:p w14:paraId="72B53BD0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3" w:name="_Toc239671769"/>
      <w:r>
        <w:rPr>
          <w:rFonts w:ascii="Times New Roman" w:hAnsi="Times New Roman"/>
          <w:sz w:val="24"/>
          <w:szCs w:val="24"/>
        </w:rPr>
        <w:t>2.2 测试策略</w:t>
      </w:r>
      <w:bookmarkEnd w:id="3"/>
    </w:p>
    <w:p w14:paraId="6F0A836F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数值范围与缓存上限采用边界值法；合法和非法输入采用等价类法；字幕更新、断线恢复和全屏切换采用场景法。结合源码中的状态判断选择断言，检查错误后的发送、关闭与重连行为；未采集代码覆盖率，不以用例通过率代替分支覆盖率。</w:t>
      </w:r>
    </w:p>
    <w:p w14:paraId="7173D9F0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4" w:name="_Toc239671770"/>
      <w:r>
        <w:rPr>
          <w:rFonts w:ascii="Times New Roman" w:hAnsi="Times New Roman"/>
          <w:sz w:val="24"/>
          <w:szCs w:val="24"/>
        </w:rPr>
        <w:t>2.3 测试环境</w:t>
      </w:r>
      <w:bookmarkEnd w:id="4"/>
    </w:p>
    <w:p w14:paraId="047CB803">
      <w:pPr>
        <w:keepLines/>
        <w:spacing w:line="312" w:lineRule="auto"/>
        <w:ind w:firstLine="420" w:firstLineChars="200"/>
        <w:rPr>
          <w:iCs/>
          <w:color w:val="000000"/>
        </w:rPr>
      </w:pPr>
      <w:r>
        <w:rPr>
          <w:iCs/>
          <w:color w:val="000000"/>
        </w:rPr>
        <w:t>硬件为Apple M5、16 GiB内存、arm64；系统内核Darwin 25.4.0。运行环境为Node.js 24.19.0、npm 11.16.0，不依赖数据库。网关测试采用fake provider和本机随机端口，测试令牌在夹具中固定，客户端与服务端一致，无需云端账户。</w:t>
      </w:r>
    </w:p>
    <w:p w14:paraId="1C1B9113">
      <w:pPr>
        <w:keepLines/>
        <w:spacing w:line="312" w:lineRule="auto"/>
        <w:ind w:firstLine="420" w:firstLineChars="200"/>
        <w:rPr>
          <w:i/>
          <w:color w:val="000000"/>
        </w:rPr>
      </w:pPr>
      <w:r>
        <w:rPr>
          <w:iCs/>
          <w:color w:val="000000"/>
        </w:rPr>
        <w:t>测试框架为Vitest 3.2.7、Playwright 1.62.1及配套Chromium。源码根目录执行npm ci、npx playwright install chromium安装依赖；测试代码与产品共用Node.js环境，运行时需允许本机端口监听。</w:t>
      </w:r>
    </w:p>
    <w:p w14:paraId="2E6F6A88">
      <w:pPr>
        <w:pStyle w:val="2"/>
        <w:keepLines/>
        <w:spacing w:before="240" w:after="240" w:line="312" w:lineRule="auto"/>
        <w:rPr>
          <w:sz w:val="28"/>
          <w:szCs w:val="28"/>
        </w:rPr>
      </w:pPr>
      <w:bookmarkStart w:id="5" w:name="_Toc35958953"/>
      <w:bookmarkStart w:id="6" w:name="_Toc239671771"/>
      <w:r>
        <w:rPr>
          <w:sz w:val="28"/>
          <w:szCs w:val="28"/>
        </w:rPr>
        <w:t>3 测试用例设计</w:t>
      </w:r>
      <w:bookmarkEnd w:id="5"/>
      <w:bookmarkEnd w:id="6"/>
    </w:p>
    <w:p w14:paraId="7EB7343A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7" w:name="_Toc239671772"/>
      <w:r>
        <w:rPr>
          <w:rFonts w:ascii="Times New Roman" w:hAnsi="Times New Roman"/>
          <w:sz w:val="24"/>
          <w:szCs w:val="24"/>
        </w:rPr>
        <w:t>3.1 用例总览</w:t>
      </w:r>
      <w:bookmarkEnd w:id="7"/>
    </w:p>
    <w:tbl>
      <w:tblPr>
        <w:tblStyle w:val="10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3"/>
        <w:gridCol w:w="2011"/>
        <w:gridCol w:w="2011"/>
        <w:gridCol w:w="2011"/>
      </w:tblGrid>
      <w:tr w14:paraId="77FA86C4">
        <w:trPr>
          <w:tblHeader/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D64972">
            <w:pPr>
              <w:widowControl/>
              <w:spacing w:line="312" w:lineRule="auto"/>
              <w:jc w:val="center"/>
              <w:rPr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00"/>
                <w:kern w:val="0"/>
                <w:sz w:val="18"/>
                <w:szCs w:val="18"/>
              </w:rPr>
              <w:t>测试方法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CC9572">
            <w:pPr>
              <w:widowControl/>
              <w:spacing w:line="312" w:lineRule="auto"/>
              <w:jc w:val="center"/>
              <w:rPr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00"/>
                <w:kern w:val="0"/>
                <w:sz w:val="18"/>
                <w:szCs w:val="18"/>
              </w:rPr>
              <w:t>用例数量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6DB062B">
            <w:pPr>
              <w:widowControl/>
              <w:spacing w:line="312" w:lineRule="auto"/>
              <w:jc w:val="center"/>
              <w:rPr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00"/>
                <w:kern w:val="0"/>
                <w:sz w:val="18"/>
                <w:szCs w:val="18"/>
              </w:rPr>
              <w:t>占比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8E30FF">
            <w:pPr>
              <w:widowControl/>
              <w:spacing w:line="312" w:lineRule="auto"/>
              <w:jc w:val="center"/>
              <w:rPr>
                <w:b/>
                <w:bCs/>
                <w:color w:val="000000"/>
                <w:kern w:val="0"/>
                <w:sz w:val="18"/>
                <w:szCs w:val="18"/>
              </w:rPr>
            </w:pPr>
            <w:r>
              <w:rPr>
                <w:b/>
                <w:bCs/>
                <w:color w:val="000000"/>
                <w:kern w:val="0"/>
                <w:sz w:val="18"/>
                <w:szCs w:val="18"/>
              </w:rPr>
              <w:t>已自动化数</w:t>
            </w:r>
          </w:p>
        </w:tc>
      </w:tr>
      <w:tr w14:paraId="231BC714"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110F21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边界值法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7E3DA0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25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2CA00170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40.32%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40F1EC2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25</w:t>
            </w:r>
          </w:p>
        </w:tc>
      </w:tr>
      <w:tr w14:paraId="3F7700CD"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CA0D34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等价类法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F10596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11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174C295D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17.74%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25A306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11</w:t>
            </w:r>
          </w:p>
        </w:tc>
      </w:tr>
      <w:tr w14:paraId="1AB3DDB5"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AF89DD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场景法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8A9CE4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26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4E24D85D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41.94%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E4342A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26</w:t>
            </w:r>
          </w:p>
        </w:tc>
      </w:tr>
      <w:tr w14:paraId="3B4F9974"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989C03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合计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0E8083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62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3650E436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100%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C0882D">
            <w:pPr>
              <w:widowControl/>
              <w:spacing w:line="312" w:lineRule="auto"/>
              <w:jc w:val="center"/>
              <w:rPr>
                <w:color w:val="000000"/>
                <w:kern w:val="0"/>
                <w:sz w:val="18"/>
                <w:szCs w:val="18"/>
              </w:rPr>
            </w:pPr>
            <w:r>
              <w:rPr>
                <w:color w:val="000000"/>
                <w:kern w:val="0"/>
                <w:sz w:val="18"/>
                <w:szCs w:val="18"/>
              </w:rPr>
              <w:t>62</w:t>
            </w:r>
          </w:p>
        </w:tc>
      </w:tr>
    </w:tbl>
    <w:p w14:paraId="26E20F64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8" w:name="_Toc239671773"/>
      <w:r>
        <w:rPr>
          <w:rFonts w:ascii="Times New Roman" w:hAnsi="Times New Roman"/>
          <w:sz w:val="24"/>
          <w:szCs w:val="24"/>
        </w:rPr>
        <w:t>3.2 典型用例分析</w:t>
      </w:r>
      <w:bookmarkEnd w:id="8"/>
    </w:p>
    <w:p w14:paraId="284AE9D9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M1-002（设置）：输入字号14，预期校验通过。依据合法下界设计，与字号13的拒绝用例共同检查边界。</w:t>
      </w:r>
    </w:p>
    <w:p w14:paraId="1C45A614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M1-009（设置）：输入重复源语言，预期拒绝。重复配置属于无效等价类，检查语言组合约束。</w:t>
      </w:r>
    </w:p>
    <w:p w14:paraId="56534252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M1-020（音频）：输入48kHz分块采样数据，预期合并输出[1,0]。检查跨调用累计权重，避免分块导致采样丢失。</w:t>
      </w:r>
    </w:p>
    <w:p w14:paraId="1A9E218B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M1-025（字幕）：同一段先输入final rev2，再输入interim rev3，预期保留最终字幕且无临时字幕。依据最终状态保护设计。</w:t>
      </w:r>
    </w:p>
    <w:p w14:paraId="5AE37B49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M1-027（客户端）：未ready时输入51帧、每帧40ms，预期仅发送最新50帧并提示audio_gap。依据两秒缓存上限设计。</w:t>
      </w:r>
    </w:p>
    <w:p w14:paraId="329561A0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M1-032（网关）：依次输入hello、PCM、end，预期收到字幕并正常结束。检查会话成功路径的事件顺序。</w:t>
      </w:r>
    </w:p>
    <w:p w14:paraId="1682C983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M1-059（浏览器连接）：将缓冲量设为262145字节后发送PCM，预期不抛异常，服务端收到关闭码4013。检查阈值外侧与原生关闭行为。</w:t>
      </w:r>
    </w:p>
    <w:p w14:paraId="038A2C8E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M1-061（客户端）：输入其他会话的ready再发送PCM，预期报告session_mismatch、停止发送和重连。检查异常后状态。</w:t>
      </w:r>
    </w:p>
    <w:p w14:paraId="222AA72F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9" w:name="_Toc239671774"/>
      <w:r>
        <w:rPr>
          <w:rFonts w:ascii="Times New Roman" w:hAnsi="Times New Roman"/>
          <w:sz w:val="24"/>
          <w:szCs w:val="24"/>
        </w:rPr>
        <w:t>3.3 用例分布</w:t>
      </w:r>
      <w:bookmarkEnd w:id="9"/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6"/>
        <w:gridCol w:w="1863"/>
        <w:gridCol w:w="3518"/>
        <w:gridCol w:w="2089"/>
      </w:tblGrid>
      <w:tr w14:paraId="6648BC67">
        <w:trPr>
          <w:jc w:val="center"/>
        </w:trPr>
        <w:tc>
          <w:tcPr>
            <w:tcW w:w="826" w:type="dxa"/>
          </w:tcPr>
          <w:p w14:paraId="09F256F0">
            <w:pPr>
              <w:spacing w:line="312" w:lineRule="auto"/>
              <w:jc w:val="center"/>
              <w:rPr>
                <w:b/>
                <w:bCs/>
                <w:iCs/>
                <w:color w:val="000000"/>
                <w:sz w:val="18"/>
                <w:szCs w:val="21"/>
              </w:rPr>
            </w:pPr>
            <w:r>
              <w:rPr>
                <w:b/>
                <w:bCs/>
                <w:iCs/>
                <w:color w:val="000000"/>
                <w:sz w:val="18"/>
                <w:szCs w:val="21"/>
              </w:rPr>
              <w:t>序号</w:t>
            </w:r>
          </w:p>
        </w:tc>
        <w:tc>
          <w:tcPr>
            <w:tcW w:w="1863" w:type="dxa"/>
          </w:tcPr>
          <w:p w14:paraId="30FDD82E">
            <w:pPr>
              <w:spacing w:line="312" w:lineRule="auto"/>
              <w:jc w:val="center"/>
              <w:rPr>
                <w:b/>
                <w:bCs/>
                <w:iCs/>
                <w:color w:val="000000"/>
                <w:sz w:val="18"/>
                <w:szCs w:val="21"/>
              </w:rPr>
            </w:pPr>
            <w:r>
              <w:rPr>
                <w:b/>
                <w:bCs/>
                <w:iCs/>
                <w:color w:val="000000"/>
                <w:sz w:val="18"/>
                <w:szCs w:val="21"/>
              </w:rPr>
              <w:t>被测模块</w:t>
            </w:r>
          </w:p>
        </w:tc>
        <w:tc>
          <w:tcPr>
            <w:tcW w:w="3518" w:type="dxa"/>
          </w:tcPr>
          <w:p w14:paraId="7E40F72B">
            <w:pPr>
              <w:spacing w:line="312" w:lineRule="auto"/>
              <w:jc w:val="center"/>
              <w:rPr>
                <w:b/>
                <w:bCs/>
                <w:iCs/>
                <w:color w:val="000000"/>
                <w:sz w:val="18"/>
                <w:szCs w:val="21"/>
              </w:rPr>
            </w:pPr>
            <w:r>
              <w:rPr>
                <w:b/>
                <w:bCs/>
                <w:iCs/>
                <w:color w:val="000000"/>
                <w:sz w:val="18"/>
                <w:szCs w:val="21"/>
              </w:rPr>
              <w:t>需求简述</w:t>
            </w:r>
          </w:p>
        </w:tc>
        <w:tc>
          <w:tcPr>
            <w:tcW w:w="2089" w:type="dxa"/>
          </w:tcPr>
          <w:p w14:paraId="155B2FE2">
            <w:pPr>
              <w:spacing w:line="312" w:lineRule="auto"/>
              <w:jc w:val="center"/>
              <w:rPr>
                <w:b/>
                <w:bCs/>
                <w:iCs/>
                <w:color w:val="000000"/>
                <w:sz w:val="18"/>
                <w:szCs w:val="21"/>
              </w:rPr>
            </w:pPr>
            <w:r>
              <w:rPr>
                <w:b/>
                <w:bCs/>
                <w:iCs/>
                <w:color w:val="000000"/>
                <w:sz w:val="18"/>
                <w:szCs w:val="21"/>
              </w:rPr>
              <w:t>测试用例数量</w:t>
            </w:r>
          </w:p>
        </w:tc>
      </w:tr>
      <w:tr w14:paraId="5425BF04">
        <w:trPr>
          <w:jc w:val="center"/>
        </w:trPr>
        <w:tc>
          <w:tcPr>
            <w:tcW w:w="826" w:type="dxa"/>
          </w:tcPr>
          <w:p w14:paraId="0F70AA51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1</w:t>
            </w:r>
          </w:p>
        </w:tc>
        <w:tc>
          <w:tcPr>
            <w:tcW w:w="1863" w:type="dxa"/>
          </w:tcPr>
          <w:p w14:paraId="7042924E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设置校验</w:t>
            </w:r>
          </w:p>
        </w:tc>
        <w:tc>
          <w:tcPr>
            <w:tcW w:w="3518" w:type="dxa"/>
          </w:tcPr>
          <w:p w14:paraId="354841DA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参数范围、语言组合及地址校验</w:t>
            </w:r>
          </w:p>
        </w:tc>
        <w:tc>
          <w:tcPr>
            <w:tcW w:w="2089" w:type="dxa"/>
          </w:tcPr>
          <w:p w14:paraId="44F3B2F8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20</w:t>
            </w:r>
          </w:p>
        </w:tc>
      </w:tr>
      <w:tr w14:paraId="5B8B9446">
        <w:trPr>
          <w:jc w:val="center"/>
        </w:trPr>
        <w:tc>
          <w:tcPr>
            <w:tcW w:w="826" w:type="dxa"/>
          </w:tcPr>
          <w:p w14:paraId="3855608C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2</w:t>
            </w:r>
          </w:p>
        </w:tc>
        <w:tc>
          <w:tcPr>
            <w:tcW w:w="1863" w:type="dxa"/>
          </w:tcPr>
          <w:p w14:paraId="52B953F1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音频处理</w:t>
            </w:r>
          </w:p>
        </w:tc>
        <w:tc>
          <w:tcPr>
            <w:tcW w:w="3518" w:type="dxa"/>
          </w:tcPr>
          <w:p w14:paraId="2BD0B791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PCM编码解码与降采样</w:t>
            </w:r>
          </w:p>
        </w:tc>
        <w:tc>
          <w:tcPr>
            <w:tcW w:w="2089" w:type="dxa"/>
          </w:tcPr>
          <w:p w14:paraId="5F2F5842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8</w:t>
            </w:r>
          </w:p>
        </w:tc>
      </w:tr>
      <w:tr w14:paraId="4DDD2CC9">
        <w:trPr>
          <w:jc w:val="center"/>
        </w:trPr>
        <w:tc>
          <w:tcPr>
            <w:tcW w:w="826" w:type="dxa"/>
          </w:tcPr>
          <w:p w14:paraId="685733B6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3</w:t>
            </w:r>
          </w:p>
        </w:tc>
        <w:tc>
          <w:tcPr>
            <w:tcW w:w="1863" w:type="dxa"/>
          </w:tcPr>
          <w:p w14:paraId="5F38B55D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字幕状态</w:t>
            </w:r>
          </w:p>
        </w:tc>
        <w:tc>
          <w:tcPr>
            <w:tcW w:w="3518" w:type="dxa"/>
          </w:tcPr>
          <w:p w14:paraId="08DE8CCE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修订顺序、代次及最终状态</w:t>
            </w:r>
          </w:p>
        </w:tc>
        <w:tc>
          <w:tcPr>
            <w:tcW w:w="2089" w:type="dxa"/>
          </w:tcPr>
          <w:p w14:paraId="2A134DB8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7</w:t>
            </w:r>
          </w:p>
        </w:tc>
      </w:tr>
      <w:tr w14:paraId="2719855B">
        <w:trPr>
          <w:jc w:val="center"/>
        </w:trPr>
        <w:tc>
          <w:tcPr>
            <w:tcW w:w="826" w:type="dxa"/>
          </w:tcPr>
          <w:p w14:paraId="76B77F55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4</w:t>
            </w:r>
          </w:p>
        </w:tc>
        <w:tc>
          <w:tcPr>
            <w:tcW w:w="1863" w:type="dxa"/>
          </w:tcPr>
          <w:p w14:paraId="0A6CA4E2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客户端连接</w:t>
            </w:r>
          </w:p>
        </w:tc>
        <w:tc>
          <w:tcPr>
            <w:tcW w:w="3518" w:type="dxa"/>
          </w:tcPr>
          <w:p w14:paraId="1EE4A52C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缓存、错误终止与断线恢复</w:t>
            </w:r>
          </w:p>
        </w:tc>
        <w:tc>
          <w:tcPr>
            <w:tcW w:w="2089" w:type="dxa"/>
          </w:tcPr>
          <w:p w14:paraId="66BC5B03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8</w:t>
            </w:r>
          </w:p>
        </w:tc>
      </w:tr>
      <w:tr w14:paraId="423E6605">
        <w:trPr>
          <w:jc w:val="center"/>
        </w:trPr>
        <w:tc>
          <w:tcPr>
            <w:tcW w:w="826" w:type="dxa"/>
          </w:tcPr>
          <w:p w14:paraId="3ACFC6C0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5</w:t>
            </w:r>
          </w:p>
        </w:tc>
        <w:tc>
          <w:tcPr>
            <w:tcW w:w="1863" w:type="dxa"/>
          </w:tcPr>
          <w:p w14:paraId="5F41F012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网关会话</w:t>
            </w:r>
          </w:p>
        </w:tc>
        <w:tc>
          <w:tcPr>
            <w:tcW w:w="3518" w:type="dxa"/>
          </w:tcPr>
          <w:p w14:paraId="37044DE8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握手、鉴权、协议及会话隔离</w:t>
            </w:r>
          </w:p>
        </w:tc>
        <w:tc>
          <w:tcPr>
            <w:tcW w:w="2089" w:type="dxa"/>
          </w:tcPr>
          <w:p w14:paraId="3A003496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9</w:t>
            </w:r>
          </w:p>
        </w:tc>
      </w:tr>
      <w:tr w14:paraId="2A8819C9">
        <w:trPr>
          <w:jc w:val="center"/>
        </w:trPr>
        <w:tc>
          <w:tcPr>
            <w:tcW w:w="826" w:type="dxa"/>
          </w:tcPr>
          <w:p w14:paraId="2742D560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6</w:t>
            </w:r>
          </w:p>
        </w:tc>
        <w:tc>
          <w:tcPr>
            <w:tcW w:w="1863" w:type="dxa"/>
          </w:tcPr>
          <w:p w14:paraId="558E8099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Chrome交互</w:t>
            </w:r>
          </w:p>
        </w:tc>
        <w:tc>
          <w:tcPr>
            <w:tcW w:w="3518" w:type="dxa"/>
          </w:tcPr>
          <w:p w14:paraId="49B78579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设置保存、字幕显示与全屏切换</w:t>
            </w:r>
          </w:p>
        </w:tc>
        <w:tc>
          <w:tcPr>
            <w:tcW w:w="2089" w:type="dxa"/>
          </w:tcPr>
          <w:p w14:paraId="6E95FE71">
            <w:pPr>
              <w:spacing w:line="312" w:lineRule="auto"/>
              <w:jc w:val="center"/>
              <w:rPr>
                <w:iCs/>
                <w:color w:val="000000"/>
                <w:sz w:val="18"/>
                <w:szCs w:val="21"/>
              </w:rPr>
            </w:pPr>
            <w:r>
              <w:rPr>
                <w:iCs/>
                <w:color w:val="000000"/>
                <w:sz w:val="18"/>
                <w:szCs w:val="21"/>
              </w:rPr>
              <w:t>10</w:t>
            </w:r>
          </w:p>
        </w:tc>
      </w:tr>
    </w:tbl>
    <w:p w14:paraId="0CCE0720">
      <w:pPr>
        <w:pStyle w:val="2"/>
        <w:keepLines/>
        <w:spacing w:before="240" w:after="240" w:line="312" w:lineRule="auto"/>
        <w:rPr>
          <w:sz w:val="28"/>
          <w:szCs w:val="28"/>
        </w:rPr>
      </w:pPr>
      <w:bookmarkStart w:id="10" w:name="_Toc239671775"/>
      <w:r>
        <w:rPr>
          <w:sz w:val="28"/>
          <w:szCs w:val="28"/>
        </w:rPr>
        <w:t>4 自动化测试实现</w:t>
      </w:r>
      <w:bookmarkEnd w:id="10"/>
    </w:p>
    <w:p w14:paraId="13EBFE2B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1" w:name="_Toc239671776"/>
      <w:r>
        <w:rPr>
          <w:rFonts w:ascii="Times New Roman" w:hAnsi="Times New Roman"/>
          <w:sz w:val="24"/>
          <w:szCs w:val="24"/>
        </w:rPr>
        <w:t>4.1 测试框架与架构</w:t>
      </w:r>
      <w:bookmarkEnd w:id="11"/>
    </w:p>
    <w:p w14:paraId="2B3264E4">
      <w:pPr>
        <w:keepLines/>
        <w:ind w:firstLine="420" w:firstLineChars="200"/>
        <w:rPr>
          <w:b w:val="0"/>
          <w:bCs w:val="0"/>
          <w:iCs/>
          <w:color w:val="000000"/>
        </w:rPr>
      </w:pPr>
      <w:r>
        <w:rPr>
          <w:b w:val="0"/>
          <w:bCs w:val="0"/>
          <w:iCs/>
          <w:color w:val="000000"/>
        </w:rPr>
        <w:t>测试框架：Vitest执行50条逻辑及网关集成测试；Playwright执行12条浏览器测试。用例名称包含M1编号，与Excel清单和结果文件对应。</w:t>
      </w:r>
    </w:p>
    <w:p w14:paraId="7301D07D">
      <w:pPr>
        <w:keepLines/>
        <w:ind w:firstLine="420" w:firstLineChars="200"/>
        <w:rPr>
          <w:b w:val="0"/>
          <w:bCs w:val="0"/>
          <w:iCs/>
          <w:color w:val="000000"/>
        </w:rPr>
      </w:pPr>
      <w:r>
        <w:rPr>
          <w:b w:val="0"/>
          <w:bCs w:val="0"/>
          <w:iCs/>
          <w:color w:val="000000"/>
        </w:rPr>
        <w:t>项目结构：apps/extension为浏览器扩展，apps/gateway为网关，packages/shared为协议与公共逻辑；tests/module1与tests/module1-lcy分别保存测试脚本、配置、用例数据和执行入口。</w:t>
      </w:r>
    </w:p>
    <w:p w14:paraId="71C0ED77">
      <w:pPr>
        <w:keepLines/>
        <w:ind w:firstLine="420" w:firstLineChars="200"/>
        <w:rPr>
          <w:b w:val="0"/>
          <w:bCs w:val="0"/>
          <w:iCs/>
          <w:color w:val="000000"/>
        </w:rPr>
      </w:pPr>
      <w:r>
        <w:rPr>
          <w:b w:val="0"/>
          <w:bCs w:val="0"/>
          <w:iCs/>
          <w:color w:val="000000"/>
        </w:rPr>
        <w:t>统一入口：npm run test:module1:all，依次运行38条和24条用例。各目录results保存框架原始结果和汇总；阶段失败时返回非零。</w:t>
      </w:r>
    </w:p>
    <w:p w14:paraId="658D2E99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2" w:name="_Toc239671777"/>
      <w:r>
        <w:rPr>
          <w:rFonts w:ascii="Times New Roman" w:hAnsi="Times New Roman"/>
          <w:sz w:val="24"/>
          <w:szCs w:val="24"/>
        </w:rPr>
        <w:t>4.2 关键实现说明</w:t>
      </w:r>
      <w:bookmarkEnd w:id="12"/>
    </w:p>
    <w:p w14:paraId="5ADE5D91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参数化输入减少重复代码；MockSocket控制连接事件，模拟计时器检查客户端重连。本地网关使用真实WebSocket和fake provider，握手超时用例实际等待；浏览器加载真实脚本，关闭码用例保留原生close方法。</w:t>
      </w:r>
    </w:p>
    <w:p w14:paraId="486F3E64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下面节选client.test.ts中致命错误断言（10行）。fixture创建已ready的客户端，Socket记录发送和关闭；断言同时检查错误、停止音频、关闭及不重连。</w:t>
      </w:r>
    </w:p>
    <w:p w14:paraId="18C75EE8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function expectFatalStops(raw: unknown, code: string) {</w:t>
      </w:r>
      <w:r>
        <w:rPr>
          <w:iCs/>
          <w:color w:val="000000"/>
        </w:rPr>
        <w:br w:type="textWrapping"/>
      </w:r>
      <w:r>
        <w:rPr>
          <w:iCs/>
          <w:color w:val="000000"/>
        </w:rPr>
        <w:t xml:space="preserve">  const { client, socket, messages } = fixture();</w:t>
      </w:r>
      <w:r>
        <w:rPr>
          <w:iCs/>
          <w:color w:val="000000"/>
        </w:rPr>
        <w:br w:type="textWrapping"/>
      </w:r>
      <w:r>
        <w:rPr>
          <w:iCs/>
          <w:color w:val="000000"/>
        </w:rPr>
        <w:t xml:space="preserve">  socket.receive(raw);</w:t>
      </w:r>
      <w:r>
        <w:rPr>
          <w:iCs/>
          <w:color w:val="000000"/>
        </w:rPr>
        <w:br w:type="textWrapping"/>
      </w:r>
      <w:r>
        <w:rPr>
          <w:iCs/>
          <w:color w:val="000000"/>
        </w:rPr>
        <w:t xml:space="preserve">  client.push({ sequence: 0, audioEndMs: 40, pcm: new Uint8Array(1280) });</w:t>
      </w:r>
      <w:r>
        <w:rPr>
          <w:iCs/>
          <w:color w:val="000000"/>
        </w:rPr>
        <w:br w:type="textWrapping"/>
      </w:r>
      <w:r>
        <w:rPr>
          <w:iCs/>
          <w:color w:val="000000"/>
        </w:rPr>
        <w:t xml:space="preserve">  expect(messages.filter(m =&gt; m.type === 'error')).toEqual([expect.objectContaining({ code, retryable: false })]);</w:t>
      </w:r>
      <w:r>
        <w:rPr>
          <w:iCs/>
          <w:color w:val="000000"/>
        </w:rPr>
        <w:br w:type="textWrapping"/>
      </w:r>
      <w:r>
        <w:rPr>
          <w:iCs/>
          <w:color w:val="000000"/>
        </w:rPr>
        <w:t xml:space="preserve">  expect(socket.sent.filter(x =&gt; x instanceof ArrayBuffer)).toHaveLength(0);</w:t>
      </w:r>
      <w:r>
        <w:rPr>
          <w:iCs/>
          <w:color w:val="000000"/>
        </w:rPr>
        <w:br w:type="textWrapping"/>
      </w:r>
      <w:r>
        <w:rPr>
          <w:iCs/>
          <w:color w:val="000000"/>
        </w:rPr>
        <w:t xml:space="preserve">  expect(socket.readyState).toBe(3);</w:t>
      </w:r>
      <w:r>
        <w:rPr>
          <w:iCs/>
          <w:color w:val="000000"/>
        </w:rPr>
        <w:br w:type="textWrapping"/>
      </w:r>
      <w:r>
        <w:rPr>
          <w:iCs/>
          <w:color w:val="000000"/>
        </w:rPr>
        <w:t xml:space="preserve">  vi.advanceTimersByTime(10000);</w:t>
      </w:r>
      <w:r>
        <w:rPr>
          <w:iCs/>
          <w:color w:val="000000"/>
        </w:rPr>
        <w:br w:type="textWrapping"/>
      </w:r>
      <w:r>
        <w:rPr>
          <w:iCs/>
          <w:color w:val="000000"/>
        </w:rPr>
        <w:t xml:space="preserve">  expect(sockets).toHaveLength(1);</w:t>
      </w:r>
      <w:r>
        <w:rPr>
          <w:iCs/>
          <w:color w:val="000000"/>
        </w:rPr>
        <w:br w:type="textWrapping"/>
      </w:r>
      <w:r>
        <w:rPr>
          <w:iCs/>
          <w:color w:val="000000"/>
        </w:rPr>
        <w:t>}</w:t>
      </w:r>
    </w:p>
    <w:p w14:paraId="494FEF6B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清理钩子关闭客户端和网关、恢复模拟计时器；设置用例同时重置后台内存与持久化配置。修复前源码快照用于临时工程复现；缺陷测试与正向恢复用例共同验证修复。</w:t>
      </w:r>
    </w:p>
    <w:p w14:paraId="2F230887">
      <w:pPr>
        <w:pStyle w:val="2"/>
        <w:keepLines/>
        <w:spacing w:before="240" w:after="240" w:line="312" w:lineRule="auto"/>
        <w:rPr>
          <w:sz w:val="28"/>
          <w:szCs w:val="28"/>
        </w:rPr>
      </w:pPr>
      <w:bookmarkStart w:id="13" w:name="_Toc239671778"/>
      <w:r>
        <w:rPr>
          <w:sz w:val="28"/>
          <w:szCs w:val="28"/>
        </w:rPr>
        <w:t>5 执行结果与缺陷</w:t>
      </w:r>
      <w:bookmarkEnd w:id="13"/>
    </w:p>
    <w:p w14:paraId="4218F0BB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4" w:name="_Toc239671779"/>
      <w:r>
        <w:rPr>
          <w:rFonts w:ascii="Times New Roman" w:hAnsi="Times New Roman"/>
          <w:sz w:val="24"/>
          <w:szCs w:val="24"/>
        </w:rPr>
        <w:t>5.1 执行结果</w:t>
      </w:r>
      <w:bookmarkEnd w:id="14"/>
    </w:p>
    <w:p w14:paraId="6E0AFED4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归档执行日期为2026-09-11：设置校验20/20、音频处理8/8、字幕状态7/7、客户端连接8/8、网关会话9/9、Chrome交互10/10，以上分别为通过数/总数，各模块失败数均为0、通过率均为100%。总计62条，执行62条，通过62条、失败0条、跳过0条、未执行0条；通过率为62÷(62+0)=100%。</w:t>
      </w:r>
    </w:p>
    <w:p w14:paraId="5DF59DFF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结果依据outputs/module1_by/evidence/summary.json及分项记录；修复版本由fixed-source-hashes.json识别。产品回归另有36条单元、3条浏览器测试通过，1条真实音频用例按原配置跳过；类型检查及Chrome、网关、Safari资源构建通过。</w:t>
      </w:r>
    </w:p>
    <w:p w14:paraId="09F14A90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5" w:name="_Toc239671780"/>
      <w:r>
        <w:rPr>
          <w:rFonts w:ascii="Times New Roman" w:hAnsi="Times New Roman"/>
          <w:sz w:val="24"/>
          <w:szCs w:val="24"/>
        </w:rPr>
        <w:t>5.2 缺陷摘要</w:t>
      </w:r>
      <w:bookmarkEnd w:id="15"/>
    </w:p>
    <w:p w14:paraId="6A7B8FC2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BUG-M1-001：最终字幕被后到临时结果重复显示，影响字幕一致性；严重程度中，自动化发现，发现人白宇。</w:t>
      </w:r>
    </w:p>
    <w:p w14:paraId="74D78CD8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BUG-M1-002：缓存多保留40ms音频，超过两秒上限；严重程度低，自动化发现，发现人白宇。</w:t>
      </w:r>
    </w:p>
    <w:p w14:paraId="5EE2E86A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BUG-M1-003：非法关闭码引发浏览器异常或错误误报，影响连接关闭与恢复；严重程度中，自动化发现，发现人李承远。</w:t>
      </w:r>
    </w:p>
    <w:p w14:paraId="4B706095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BUG-M1-004：本地不可重试错误后仍发送PCM，影响会话终止；严重程度中，自动化发现，发现人李承远。四项均已修复并通过对应回归，详见缺陷清单。</w:t>
      </w:r>
    </w:p>
    <w:p w14:paraId="119CF715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6" w:name="_Toc239671781"/>
      <w:r>
        <w:rPr>
          <w:rFonts w:ascii="Times New Roman" w:hAnsi="Times New Roman"/>
          <w:sz w:val="24"/>
          <w:szCs w:val="24"/>
        </w:rPr>
        <w:t>5.3 典型缺陷根因分析</w:t>
      </w:r>
      <w:bookmarkEnd w:id="16"/>
    </w:p>
    <w:p w14:paraId="4DBFABEF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BUG-M1-001：M1-025/037发现同段final后仍可出现interim。根因是只比较revision递增，未保护最终状态。共享合并函数与浮层同时增加同代次、同片段的final保护，两条用例回归通过；M1-024验证新代次仍可接收字幕。</w:t>
      </w:r>
    </w:p>
    <w:p w14:paraId="45BD0612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BUG-M1-003：M1-059/060在真实浏览器触发close(1013/1008)异常。根因是混用了服务端关闭码与浏览器脚本允许的参数。改为4013/4008后两条用例通过；仅修关闭码时M1-049/061仍失败。</w:t>
      </w:r>
    </w:p>
    <w:p w14:paraId="0830337C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BUG-M1-004：M1-049/061发现错误回调为不可重试，但连接仍开启并继续发送。根因是本地错误分支只报告而未清理状态。统一停止方法清理ready、缓存和重连计时器并关闭连接，两条用例通过；M1-062确认可重试错误后断线仍可恢复。</w:t>
      </w:r>
    </w:p>
    <w:p w14:paraId="63E9E092">
      <w:pPr>
        <w:pStyle w:val="3"/>
        <w:keepLines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7" w:name="_Toc239671782"/>
      <w:r>
        <w:rPr>
          <w:rFonts w:ascii="Times New Roman" w:hAnsi="Times New Roman"/>
          <w:sz w:val="24"/>
          <w:szCs w:val="24"/>
        </w:rPr>
        <w:t xml:space="preserve">5.4 </w:t>
      </w:r>
      <w:r>
        <w:rPr>
          <w:rFonts w:hint="eastAsia" w:ascii="Times New Roman" w:hAnsi="Times New Roman"/>
          <w:sz w:val="24"/>
          <w:szCs w:val="24"/>
        </w:rPr>
        <w:t>质量评估结论</w:t>
      </w:r>
      <w:bookmarkEnd w:id="17"/>
    </w:p>
    <w:p w14:paraId="1E59394D">
      <w:pPr>
        <w:keepLines/>
        <w:spacing w:line="312" w:lineRule="auto"/>
        <w:ind w:firstLine="420"/>
        <w:rPr>
          <w:iCs/>
          <w:color w:val="000000"/>
        </w:rPr>
      </w:pPr>
      <w:r>
        <w:rPr>
          <w:iCs/>
          <w:color w:val="000000"/>
        </w:rPr>
        <w:t>已测模块在固定数据与本地服务条件下满足62条用例预期，4项缺陷完成修复验证，可进入课程演示与后续验收。尚不足以判定整个产品达到正式发布标准：真实音频采集、云端准确率与延迟、Safari原生宿主仍需验证。</w:t>
      </w:r>
    </w:p>
    <w:p w14:paraId="0DB49BFF">
      <w:pPr>
        <w:pStyle w:val="2"/>
        <w:keepLines/>
        <w:spacing w:before="240" w:after="240" w:line="312" w:lineRule="auto"/>
        <w:rPr>
          <w:sz w:val="28"/>
          <w:szCs w:val="28"/>
        </w:rPr>
      </w:pPr>
      <w:bookmarkStart w:id="18" w:name="_Toc239671783"/>
      <w:r>
        <w:rPr>
          <w:sz w:val="28"/>
          <w:szCs w:val="28"/>
        </w:rPr>
        <w:t>6 小组成员贡献度</w:t>
      </w:r>
      <w:bookmarkEnd w:id="18"/>
    </w:p>
    <w:p w14:paraId="680B236A">
      <w:pPr>
        <w:keepLines/>
        <w:spacing w:line="312" w:lineRule="auto"/>
        <w:ind w:firstLine="420"/>
        <w:rPr>
          <w:rFonts w:hint="eastAsia"/>
          <w:iCs/>
          <w:color w:val="000000"/>
        </w:rPr>
      </w:pPr>
      <w:r>
        <w:rPr>
          <w:rFonts w:hint="eastAsia"/>
          <w:iCs/>
          <w:color w:val="000000"/>
        </w:rPr>
        <w:t>小组共同完成62条自动化用例、4项有效缺陷及报告汇总。白宇承担设置、PCM、字幕与会话基础测试及BUG-M1-001/002定位，关联测试文件184行；李承远承担协议边界、客户端异常及浏览器行为补充测试与BUG-M1-003/004定位，关联测试文件217行。双方各发现2项缺陷，并共同整理验证材料和成果汇报，贡献比例各50%，合计100%。代码规模按各目录*.test.ts和*.spec.ts物理行统计，含空行与注释，</w:t>
      </w:r>
      <w:bookmarkStart w:id="19" w:name="_GoBack"/>
      <w:bookmarkEnd w:id="19"/>
      <w:r>
        <w:rPr>
          <w:rFonts w:hint="eastAsia"/>
          <w:iCs/>
          <w:color w:val="000000"/>
        </w:rPr>
        <w:t>不含配置、生成文件及运行入口。</w:t>
      </w:r>
    </w:p>
    <w:sectPr>
      <w:footerReference r:id="rId5" w:type="default"/>
      <w:footerReference r:id="rId6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altName w:val="方正雅意黑 GB18030L2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DengXian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10B0A">
    <w:pPr>
      <w:pStyle w:val="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6</w:t>
    </w:r>
    <w:r>
      <w:rPr>
        <w:b/>
        <w:bCs/>
        <w:sz w:val="24"/>
        <w:szCs w:val="24"/>
      </w:rPr>
      <w:fldChar w:fldCharType="end"/>
    </w:r>
  </w:p>
  <w:p w14:paraId="4FF158B2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separate"/>
    </w:r>
    <w:r>
      <w:rPr>
        <w:rStyle w:val="14"/>
      </w:rPr>
      <w:t>6</w:t>
    </w:r>
    <w:r>
      <w:rPr>
        <w:rStyle w:val="14"/>
      </w:rPr>
      <w:fldChar w:fldCharType="end"/>
    </w:r>
  </w:p>
  <w:p w14:paraId="54A8A66A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14A26E93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BA8D3">
    <w:pPr>
      <w:pStyle w:val="7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76B6A"/>
    <w:rsid w:val="007916C2"/>
    <w:rsid w:val="007D7EB2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  <w:rsid w:val="769569C6"/>
    <w:rsid w:val="FC6F6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autoRedefine/>
    <w:uiPriority w:val="39"/>
    <w:pPr>
      <w:ind w:left="840" w:leftChars="400"/>
    </w:pPr>
  </w:style>
  <w:style w:type="paragraph" w:styleId="6">
    <w:name w:val="footer"/>
    <w:basedOn w:val="1"/>
    <w:link w:val="1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uiPriority w:val="39"/>
    <w:pPr>
      <w:ind w:left="420" w:leftChars="200"/>
    </w:pPr>
  </w:style>
  <w:style w:type="table" w:styleId="11">
    <w:name w:val="Table Grid"/>
    <w:basedOn w:val="1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page number"/>
    <w:basedOn w:val="12"/>
    <w:semiHidden/>
    <w:uiPriority w:val="0"/>
  </w:style>
  <w:style w:type="character" w:styleId="15">
    <w:name w:val="Hyperlink"/>
    <w:uiPriority w:val="99"/>
    <w:rPr>
      <w:color w:val="0000FF"/>
      <w:u w:val="single"/>
    </w:rPr>
  </w:style>
  <w:style w:type="paragraph" w:customStyle="1" w:styleId="16">
    <w:name w:val="表格首行"/>
    <w:basedOn w:val="1"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字符"/>
    <w:basedOn w:val="12"/>
    <w:semiHidden/>
    <w:uiPriority w:val="99"/>
    <w:rPr>
      <w:kern w:val="2"/>
      <w:sz w:val="18"/>
      <w:szCs w:val="18"/>
    </w:rPr>
  </w:style>
  <w:style w:type="character" w:customStyle="1" w:styleId="18">
    <w:name w:val="页眉 字符1"/>
    <w:link w:val="7"/>
    <w:uiPriority w:val="0"/>
    <w:rPr>
      <w:kern w:val="2"/>
      <w:sz w:val="18"/>
      <w:szCs w:val="18"/>
    </w:rPr>
  </w:style>
  <w:style w:type="character" w:customStyle="1" w:styleId="19">
    <w:name w:val="页脚 字符"/>
    <w:link w:val="6"/>
    <w:uiPriority w:val="99"/>
    <w:rPr>
      <w:kern w:val="2"/>
      <w:sz w:val="18"/>
      <w:szCs w:val="18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paragraph" w:customStyle="1" w:styleId="21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2">
    <w:name w:val="ds-markdown-paragraph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7</Pages>
  <Words>407</Words>
  <Characters>2322</Characters>
  <Lines>19</Lines>
  <Paragraphs>5</Paragraphs>
  <TotalTime>119</TotalTime>
  <ScaleCrop>false</ScaleCrop>
  <LinksUpToDate>false</LinksUpToDate>
  <CharactersWithSpaces>2724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2019-03-10T22:14:00Z</dcterms:created>
  <dc:creator>于俊</dc:creator>
  <cp:lastModifiedBy>胜生勇利</cp:lastModifiedBy>
  <dcterms:modified xsi:type="dcterms:W3CDTF">2026-09-15T17:53:20Z</dcterms:modified>
  <dc:title>测试分析报告（GB8567——88）</dc:title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191291847EBBAC893A15A96A7990E045_42</vt:lpwstr>
  </property>
</Properties>
</file>