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styles.xml" ContentType="application/vnd.openxmlformats-officedocument.wordprocessingml.styl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4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hint="eastAsia"/>
          <w:sz w:val="72"/>
          <w:szCs w:val="72"/>
        </w:rPr>
      </w:pPr>
      <w:r>
        <w:rPr>
          <w:rFonts w:hint="eastAsia"/>
          <w:sz w:val="72"/>
          <w:szCs w:val="72"/>
        </w:rPr>
      </w:r>
    </w:p>
    <w:p>
      <w:pPr>
        <w:pStyle w:val="Normal"/>
        <w:spacing w:lineRule="auto" w:line="360"/>
        <w:jc w:val="center"/>
        <w:rPr>
          <w:rFonts w:hint="eastAsia"/>
          <w:sz w:val="72"/>
          <w:szCs w:val="72"/>
        </w:rPr>
      </w:pPr>
      <w:r>
        <w:rPr>
          <w:rFonts w:hint="eastAsia"/>
          <w:sz w:val="72"/>
          <w:szCs w:val="72"/>
        </w:rPr>
      </w:r>
    </w:p>
    <w:p>
      <w:pPr>
        <w:pStyle w:val="Normal"/>
        <w:spacing w:lineRule="auto" w:line="360"/>
        <w:jc w:val="center"/>
        <w:rPr>
          <w:rFonts w:hint="eastAsia"/>
          <w:sz w:val="72"/>
          <w:szCs w:val="72"/>
        </w:rPr>
      </w:pPr>
      <w:r>
        <w:rPr>
          <w:rFonts w:hint="eastAsia"/>
          <w:sz w:val="72"/>
          <w:szCs w:val="72"/>
        </w:rPr>
      </w:r>
    </w:p>
    <w:p>
      <w:pPr>
        <w:pStyle w:val="Normal"/>
        <w:spacing w:lineRule="auto" w:line="360"/>
        <w:jc w:val="center"/>
        <w:rPr>
          <w:rFonts w:ascii="黑体;SimHei" w:hAnsi="黑体;SimHei" w:eastAsia="黑体;SimHei" w:hint="eastAsia"/>
          <w:b/>
          <w:bCs/>
          <w:sz w:val="72"/>
          <w:szCs w:val="72"/>
        </w:rPr>
        <w:keepLines/>
      </w:pPr>
      <w:r>
        <w:rPr>
          <w:rFonts w:ascii="黑体;SimHei" w:hAnsi="黑体;SimHei" w:hint="eastAsia" w:eastAsia="黑体;SimHei"/>
          <w:b/>
          <w:bCs/>
          <w:sz w:val="72"/>
          <w:szCs w:val="72"/>
        </w:rPr>
        <w:t xml:space="preserve">实时双语字幕插件</w:t>
      </w:r>
    </w:p>
    <w:p>
      <w:pPr>
        <w:pStyle w:val="Normal"/>
        <w:spacing w:lineRule="auto" w:line="360"/>
        <w:jc w:val="center"/>
        <w:rPr>
          <w:rFonts w:ascii="黑体;SimHei" w:hAnsi="黑体;SimHei" w:eastAsia="黑体;SimHei" w:hint="eastAsia"/>
          <w:b/>
          <w:bCs/>
          <w:sz w:val="48"/>
          <w:szCs w:val="48"/>
        </w:rPr>
      </w:pPr>
      <w:r>
        <w:rPr>
          <w:rFonts w:eastAsia="黑体;SimHei" w:hint="eastAsia" w:ascii="黑体;SimHei" w:hAnsi="黑体;SimHei"/>
          <w:b/>
          <w:bCs/>
          <w:sz w:val="48"/>
          <w:szCs w:val="48"/>
        </w:rPr>
      </w:r>
    </w:p>
    <w:p>
      <w:pPr>
        <w:pStyle w:val="Normal"/>
        <w:spacing w:lineRule="auto" w:line="360"/>
        <w:jc w:val="center"/>
        <w:rPr>
          <w:rFonts w:ascii="黑体;SimHei" w:hAnsi="黑体;SimHei" w:eastAsia="黑体;SimHei" w:hint="eastAsia"/>
          <w:b/>
          <w:bCs/>
          <w:sz w:val="48"/>
          <w:szCs w:val="48"/>
        </w:rPr>
        <w:keepLines/>
      </w:pPr>
      <w:r>
        <w:rPr>
          <w:rFonts w:eastAsia="黑体;SimHei" w:hint="eastAsia" w:ascii="黑体;SimHei" w:hAnsi="黑体;SimHei"/>
          <w:b/>
          <w:bCs/>
          <w:sz w:val="48"/>
          <w:szCs w:val="48"/>
        </w:rPr>
        <w:t xml:space="preserve">模块一测试缺陷报告书</w:t>
      </w:r>
    </w:p>
    <w:p>
      <w:pPr>
        <w:pStyle w:val="Normal"/>
        <w:spacing w:lineRule="auto" w:line="360"/>
        <w:jc w:val="center"/>
        <w:rPr>
          <w:rFonts w:ascii="黑体;SimHei" w:hAnsi="黑体;SimHei" w:eastAsia="黑体;SimHei" w:hint="eastAsia"/>
          <w:b/>
          <w:bCs/>
          <w:sz w:val="48"/>
          <w:szCs w:val="48"/>
        </w:rPr>
      </w:pPr>
      <w:r>
        <w:rPr>
          <w:rFonts w:eastAsia="黑体;SimHei" w:hint="eastAsia" w:ascii="黑体;SimHei" w:hAnsi="黑体;SimHei"/>
          <w:b/>
          <w:bCs/>
          <w:sz w:val="48"/>
          <w:szCs w:val="48"/>
        </w:rPr>
      </w:r>
    </w:p>
    <w:p>
      <w:pPr>
        <w:pStyle w:val="Normal"/>
        <w:spacing w:lineRule="auto" w:line="360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</w:r>
    </w:p>
    <w:p>
      <w:pPr>
        <w:pStyle w:val="Normal"/>
        <w:spacing w:lineRule="auto" w:line="360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</w:r>
    </w:p>
    <w:p>
      <w:pPr>
        <w:pStyle w:val="Normal"/>
        <w:spacing w:lineRule="auto" w:line="360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</w:r>
    </w:p>
    <w:p>
      <w:pPr>
        <w:pStyle w:val="Normal"/>
        <w:spacing w:lineRule="auto" w:line="360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</w:r>
    </w:p>
    <w:p>
      <w:pPr>
        <w:pStyle w:val="Normal"/>
        <w:spacing w:lineRule="auto" w:line="360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</w:r>
    </w:p>
    <w:p>
      <w:pPr>
        <w:pStyle w:val="Normal"/>
        <w:spacing w:lineRule="auto" w:line="360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</w:r>
    </w:p>
    <w:p>
      <w:pPr>
        <w:pStyle w:val="Normal"/>
        <w:spacing w:lineRule="auto" w:line="360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</w:r>
    </w:p>
    <w:p>
      <w:pPr>
        <w:pStyle w:val="Normal"/>
        <w:spacing w:lineRule="auto" w:line="360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</w:r>
    </w:p>
    <w:tbl>
      <w:tblPr>
        <w:tblW w:w="742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27"/>
        <w:gridCol w:w="1260"/>
        <w:gridCol w:w="3600"/>
        <w:gridCol w:w="1138"/>
      </w:tblGrid>
      <w:tr>
        <w:trPr/>
        <w:tc>
          <w:tcPr>
            <w:tcW w:w="1427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shd w:fill="E6E6E6" w:val="clear"/>
            <w:vAlign w:val="center"/>
          </w:tcPr>
          <w:p>
            <w:pPr>
              <w:pStyle w:val="Style1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  期</w:t>
            </w:r>
          </w:p>
        </w:tc>
        <w:tc>
          <w:tcPr>
            <w:tcW w:w="126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shd w:fill="E6E6E6" w:val="clear"/>
            <w:vAlign w:val="center"/>
          </w:tcPr>
          <w:p>
            <w:pPr>
              <w:pStyle w:val="Style1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版  本</w:t>
            </w:r>
          </w:p>
        </w:tc>
        <w:tc>
          <w:tcPr>
            <w:tcW w:w="360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shd w:fill="E6E6E6" w:val="clear"/>
            <w:vAlign w:val="center"/>
          </w:tcPr>
          <w:p>
            <w:pPr>
              <w:pStyle w:val="Style1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1138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shd w:fill="E6E6E6" w:val="clear"/>
            <w:vAlign w:val="center"/>
          </w:tcPr>
          <w:p>
            <w:pPr>
              <w:pStyle w:val="Style1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  者</w:t>
            </w:r>
          </w:p>
        </w:tc>
      </w:tr>
      <w:tr>
        <w:trPr>
          <w:trHeight w:val="375" w:hRule="atLeast"/>
        </w:trPr>
        <w:tc>
          <w:tcPr>
            <w:tcW w:w="1427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2026-09-15</w:t>
            </w:r>
          </w:p>
        </w:tc>
        <w:tc>
          <w:tcPr>
            <w:tcW w:w="126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2.1</w:t>
            </w:r>
          </w:p>
        </w:tc>
        <w:tc>
          <w:tcPr>
            <w:tcW w:w="360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  <w:t xml:space="preserve">模块一测试报告定稿</w:t>
            </w:r>
          </w:p>
        </w:tc>
        <w:tc>
          <w:tcPr>
            <w:tcW w:w="1138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  <w:t xml:space="preserve">白宇</w:t>
            </w:r>
          </w:p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  <w:t xml:space="preserve">李承远</w:t>
            </w:r>
          </w:p>
        </w:tc>
      </w:tr>
      <w:tr>
        <w:trPr>
          <w:trHeight w:val="342" w:hRule="atLeast"/>
        </w:trPr>
        <w:tc>
          <w:tcPr>
            <w:tcW w:w="1427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</w:r>
          </w:p>
        </w:tc>
        <w:tc>
          <w:tcPr>
            <w:tcW w:w="126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</w:r>
          </w:p>
        </w:tc>
        <w:tc>
          <w:tcPr>
            <w:tcW w:w="360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</w:r>
          </w:p>
        </w:tc>
        <w:tc>
          <w:tcPr>
            <w:tcW w:w="1138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</w:r>
          </w:p>
        </w:tc>
      </w:tr>
      <w:tr>
        <w:trPr>
          <w:trHeight w:val="338" w:hRule="atLeast"/>
        </w:trPr>
        <w:tc>
          <w:tcPr>
            <w:tcW w:w="1427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</w:r>
          </w:p>
        </w:tc>
        <w:tc>
          <w:tcPr>
            <w:tcW w:w="126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</w:r>
          </w:p>
        </w:tc>
        <w:tc>
          <w:tcPr>
            <w:tcW w:w="360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szCs w:val="21"/>
              </w:rPr>
            </w:pPr>
            <w:r>
              <w:rPr>
                <w:szCs w:val="21"/>
              </w:rPr>
            </w:r>
          </w:p>
        </w:tc>
        <w:tc>
          <w:tcPr>
            <w:tcW w:w="1138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</w:r>
          </w:p>
        </w:tc>
      </w:tr>
      <w:tr>
        <w:trPr>
          <w:trHeight w:val="362" w:hRule="atLeast"/>
        </w:trPr>
        <w:tc>
          <w:tcPr>
            <w:tcW w:w="1427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</w:r>
          </w:p>
        </w:tc>
        <w:tc>
          <w:tcPr>
            <w:tcW w:w="126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</w:r>
          </w:p>
        </w:tc>
        <w:tc>
          <w:tcPr>
            <w:tcW w:w="3600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</w:r>
          </w:p>
        </w:tc>
        <w:tc>
          <w:tcPr>
            <w:tcW w:w="1138" w:type="dxa"/>
            <w:tcBorders>
              <w:top w:val="single" w:sz="6" w:space="0" w:color="999999"/>
              <w:start w:val="single" w:sz="6" w:space="0" w:color="999999"/>
              <w:bottom w:val="single" w:sz="6" w:space="0" w:color="999999"/>
              <w:end w:val="single" w:sz="6" w:space="0" w:color="999999"/>
            </w:tcBorders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06" w:h="16838"/>
          <w:pgMar w:left="1800" w:right="1800" w:gutter="0" w:header="851" w:top="1440" w:footer="992" w:bottom="1440"/>
          <w:pgNumType w:fmt="decimal"/>
          <w:formProt w:val="false"/>
          <w:textDirection w:val="lrTb"/>
          <w:docGrid w:type="lines" w:linePitch="312" w:charSpace="0"/>
        </w:sectPr>
      </w:pPr>
    </w:p>
    <w:p>
      <w:pPr>
        <w:pStyle w:val="Normal"/>
        <w:spacing w:lineRule="auto" w:line="360"/>
        <w:jc w:val="center"/>
        <w:rPr/>
        <w:keepLines/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等线;DengXian" w:hAnsi="等线;DengXian" w:eastAsia="等线;DengXian" w:cs="等线;DengXian"/>
              <w:b w:val="false"/>
              <w:bCs w:val="false"/>
              <w:caps w:val="false"/>
              <w:smallCaps w:val="false"/>
              <w:szCs w:val="22"/>
            </w:rPr>
          </w:pPr>
          <w:r>
            <w:fldChar w:fldCharType="begin"/>
          </w:r>
          <w:r>
            <w:rPr>
              <w:rStyle w:val="IndexLink"/>
              <w:b w:val="false"/>
            </w:rPr>
            <w:instrText xml:space="preserve"> TOC \o "1-3" \h \z </w:instrText>
          </w:r>
          <w:r>
            <w:rPr>
              <w:rStyle w:val="IndexLink"/>
              <w:b w:val="false"/>
            </w:rPr>
            <w:fldChar w:fldCharType="separate"/>
          </w:r>
          <w:hyperlink w:anchor="_ReportHeading1">
            <w:r>
              <w:rPr>
                <w:rStyle w:val="IndexLink"/>
                <w:b w:val="false"/>
              </w:rPr>
              <w:t>1</w:t>
            </w:r>
            <w:r>
              <w:rPr>
                <w:rStyle w:val="IndexLink"/>
                <w:b w:val="false"/>
              </w:rPr>
              <w:t>引言</w:t>
            </w:r>
            <w:r>
              <w:rPr>
                <w:rStyle w:val="IndexLink"/>
                <w:b w:val="false"/>
              </w:rPr>
              <w:tab/>
              <w:t>5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2">
            <w:r>
              <w:rPr>
                <w:rStyle w:val="IndexLink"/>
                <w:lang w:val="zh-CN" w:eastAsia="zh-CN"/>
              </w:rPr>
              <w:t>1.1</w:t>
            </w:r>
            <w:r>
              <w:rPr>
                <w:rStyle w:val="IndexLink"/>
                <w:lang w:val="zh-CN" w:eastAsia="zh-CN"/>
              </w:rPr>
              <w:t>编写目的</w:t>
            </w:r>
            <w:r>
              <w:rPr>
                <w:rStyle w:val="IndexLink"/>
                <w:lang w:val="zh-CN" w:eastAsia="zh-CN"/>
              </w:rPr>
              <w:tab/>
              <w:t>5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3">
            <w:r>
              <w:rPr>
                <w:rStyle w:val="IndexLink"/>
                <w:lang w:val="zh-CN" w:eastAsia="zh-CN"/>
              </w:rPr>
              <w:t>1.2</w:t>
            </w:r>
            <w:r>
              <w:rPr>
                <w:rStyle w:val="IndexLink"/>
                <w:lang w:val="zh-CN" w:eastAsia="zh-CN"/>
              </w:rPr>
              <w:t>背景</w:t>
            </w:r>
            <w:r>
              <w:rPr>
                <w:rStyle w:val="IndexLink"/>
                <w:lang w:val="zh-CN" w:eastAsia="zh-CN"/>
              </w:rPr>
              <w:tab/>
              <w:t>5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4">
            <w:r>
              <w:rPr>
                <w:rStyle w:val="IndexLink"/>
                <w:lang w:val="zh-CN" w:eastAsia="zh-CN"/>
              </w:rPr>
              <w:t>1.3</w:t>
            </w:r>
            <w:r>
              <w:rPr>
                <w:rStyle w:val="IndexLink"/>
                <w:lang w:val="zh-CN" w:eastAsia="zh-CN"/>
              </w:rPr>
              <w:t>定义</w:t>
            </w:r>
            <w:r>
              <w:rPr>
                <w:rStyle w:val="IndexLink"/>
                <w:lang w:val="zh-CN" w:eastAsia="zh-CN"/>
              </w:rPr>
              <w:tab/>
              <w:t>6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5">
            <w:r>
              <w:rPr>
                <w:rStyle w:val="IndexLink"/>
                <w:lang w:val="zh-CN" w:eastAsia="zh-CN"/>
              </w:rPr>
              <w:t>1.4</w:t>
            </w:r>
            <w:r>
              <w:rPr>
                <w:rStyle w:val="IndexLink"/>
                <w:lang w:val="zh-CN" w:eastAsia="zh-CN"/>
              </w:rPr>
              <w:t>参考资料</w:t>
            </w:r>
            <w:r>
              <w:rPr>
                <w:rStyle w:val="IndexLink"/>
                <w:lang w:val="zh-CN" w:eastAsia="zh-CN"/>
              </w:rPr>
              <w:tab/>
              <w:t>6</w:t>
            </w:r>
          </w:hyperlink>
        </w:p>
        <w:p>
          <w:pPr>
            <w:pStyle w:val="TOC1"/>
            <w:rPr>
              <w:rFonts w:ascii="等线;DengXian" w:hAnsi="等线;DengXian" w:eastAsia="等线;DengXian" w:cs="等线;DengXian"/>
              <w:b w:val="false"/>
              <w:bCs w:val="false"/>
              <w:caps w:val="false"/>
              <w:smallCaps w:val="false"/>
              <w:szCs w:val="22"/>
            </w:rPr>
          </w:pPr>
          <w:hyperlink w:anchor="_ReportHeading6">
            <w:r>
              <w:rPr>
                <w:rStyle w:val="IndexLink"/>
              </w:rPr>
              <w:t>2</w:t>
            </w:r>
            <w:r>
              <w:rPr>
                <w:rStyle w:val="IndexLink"/>
              </w:rPr>
              <w:t>测试环境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7">
            <w:r>
              <w:rPr>
                <w:rStyle w:val="IndexLink"/>
                <w:lang w:val="zh-CN" w:eastAsia="zh-CN"/>
              </w:rPr>
              <w:t>2.1</w:t>
            </w:r>
            <w:r>
              <w:rPr>
                <w:rStyle w:val="IndexLink"/>
                <w:lang w:val="zh-CN" w:eastAsia="zh-CN"/>
              </w:rPr>
              <w:t>硬件环境</w:t>
            </w:r>
            <w:r>
              <w:rPr>
                <w:rStyle w:val="IndexLink"/>
                <w:lang w:val="zh-CN" w:eastAsia="zh-CN"/>
              </w:rPr>
              <w:tab/>
              <w:t>7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8">
            <w:r>
              <w:rPr>
                <w:rStyle w:val="IndexLink"/>
                <w:lang w:val="zh-CN" w:eastAsia="zh-CN"/>
              </w:rPr>
              <w:t>2.2</w:t>
            </w:r>
            <w:r>
              <w:rPr>
                <w:rStyle w:val="IndexLink"/>
                <w:lang w:val="zh-CN" w:eastAsia="zh-CN"/>
              </w:rPr>
              <w:t>软件环境</w:t>
            </w:r>
            <w:r>
              <w:rPr>
                <w:rStyle w:val="IndexLink"/>
                <w:lang w:val="zh-CN" w:eastAsia="zh-CN"/>
              </w:rPr>
              <w:tab/>
              <w:t>7</w:t>
            </w:r>
          </w:hyperlink>
        </w:p>
        <w:p>
          <w:pPr>
            <w:pStyle w:val="TOC1"/>
            <w:rPr>
              <w:rFonts w:ascii="等线;DengXian" w:hAnsi="等线;DengXian" w:eastAsia="等线;DengXian" w:cs="等线;DengXian"/>
              <w:b w:val="false"/>
              <w:bCs w:val="false"/>
              <w:caps w:val="false"/>
              <w:smallCaps w:val="false"/>
              <w:szCs w:val="22"/>
            </w:rPr>
          </w:pPr>
          <w:hyperlink w:anchor="_ReportHeading9">
            <w:r>
              <w:rPr>
                <w:rStyle w:val="IndexLink"/>
              </w:rPr>
              <w:t>3 功能与边界测试</w:t>
            </w:r>
            <w:r>
              <w:rPr>
                <w:rStyle w:val="IndexLink"/>
              </w:rPr>
              <w:t/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0">
            <w:r>
              <w:rPr>
                <w:rStyle w:val="IndexLink"/>
                <w:lang w:val="zh-CN" w:eastAsia="zh-CN"/>
              </w:rPr>
              <w:t>3.1</w:t>
            </w:r>
            <w:r>
              <w:rPr>
                <w:rStyle w:val="IndexLink"/>
                <w:lang w:val="zh-CN" w:eastAsia="zh-CN"/>
              </w:rPr>
              <w:t>被测软件</w:t>
            </w:r>
            <w:r>
              <w:rPr>
                <w:rStyle w:val="IndexLink"/>
                <w:lang w:val="zh-CN" w:eastAsia="zh-CN"/>
              </w:rPr>
              <w:tab/>
              <w:t>8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1">
            <w:r>
              <w:rPr>
                <w:rStyle w:val="IndexLink"/>
                <w:lang w:val="zh-CN" w:eastAsia="zh-CN"/>
              </w:rPr>
              <w:t>3.2</w:t>
            </w:r>
            <w:r>
              <w:rPr>
                <w:rStyle w:val="IndexLink"/>
                <w:lang w:val="zh-CN" w:eastAsia="zh-CN"/>
              </w:rPr>
              <w:t>测试策略</w:t>
            </w:r>
            <w:r>
              <w:rPr>
                <w:rStyle w:val="IndexLink"/>
                <w:lang w:val="zh-CN" w:eastAsia="zh-CN"/>
              </w:rPr>
              <w:tab/>
              <w:t>8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2">
            <w:r>
              <w:rPr>
                <w:rStyle w:val="IndexLink"/>
                <w:lang w:val="zh-CN" w:eastAsia="zh-CN"/>
              </w:rPr>
              <w:t>3.3</w:t>
            </w:r>
            <w:r>
              <w:rPr>
                <w:rStyle w:val="IndexLink"/>
                <w:lang w:val="zh-CN" w:eastAsia="zh-CN"/>
              </w:rPr>
              <w:t>执行步骤</w:t>
            </w:r>
            <w:r>
              <w:rPr>
                <w:rStyle w:val="IndexLink"/>
                <w:lang w:val="zh-CN" w:eastAsia="zh-CN"/>
              </w:rPr>
              <w:tab/>
              <w:t>8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3">
            <w:r>
              <w:rPr>
                <w:rStyle w:val="IndexLink"/>
                <w:lang w:val="zh-CN" w:eastAsia="zh-CN"/>
              </w:rPr>
              <w:t>3.4</w:t>
            </w:r>
            <w:r>
              <w:rPr>
                <w:rStyle w:val="IndexLink"/>
                <w:lang w:val="zh-CN" w:eastAsia="zh-CN"/>
              </w:rPr>
              <w:t>缺陷表</w:t>
            </w:r>
            <w:r>
              <w:rPr>
                <w:rStyle w:val="IndexLink"/>
                <w:lang w:val="zh-CN" w:eastAsia="zh-CN"/>
              </w:rPr>
              <w:tab/>
              <w:t>9</w:t>
            </w:r>
          </w:hyperlink>
        </w:p>
        <w:p>
          <w:pPr>
            <w:pStyle w:val="TOC3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4">
            <w:r>
              <w:rPr>
                <w:rStyle w:val="IndexLink"/>
                <w:rFonts w:eastAsia="黑体;SimHei"/>
                <w:lang w:val="zh-CN" w:eastAsia="zh-CN"/>
              </w:rPr>
              <w:t xml:space="preserve">3.4.1 字幕状态与浮层</w:t>
            </w:r>
            <w:r>
              <w:rPr>
                <w:rStyle w:val="IndexLink"/>
                <w:rFonts w:eastAsia="黑体;SimHei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ab/>
              <w:t>9</w:t>
            </w:r>
          </w:hyperlink>
        </w:p>
        <w:p>
          <w:pPr>
            <w:pStyle w:val="TOC3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5">
            <w:r>
              <w:rPr>
                <w:rStyle w:val="IndexLink"/>
                <w:rFonts w:eastAsia="黑体;SimHei"/>
                <w:lang w:val="zh-CN" w:eastAsia="zh-CN"/>
              </w:rPr>
              <w:t>表3.4.1 BUG-M1-001 最终字幕重复显示</w:t>
            </w:r>
            <w:r>
              <w:rPr>
                <w:rStyle w:val="IndexLink"/>
                <w:rFonts w:eastAsia="黑体;SimHei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ab/>
              <w:t>9</w:t>
            </w:r>
          </w:hyperlink>
        </w:p>
        <w:p>
          <w:pPr>
            <w:pStyle w:val="TOC3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6">
            <w:r>
              <w:rPr>
                <w:rStyle w:val="IndexLink"/>
                <w:rFonts w:eastAsia="黑体;SimHei"/>
                <w:lang w:val="zh-CN" w:eastAsia="zh-CN"/>
              </w:rPr>
              <w:t xml:space="preserve">3.4.2 客户端音频缓存</w:t>
            </w:r>
            <w:r>
              <w:rPr>
                <w:rStyle w:val="IndexLink"/>
                <w:rFonts w:eastAsia="黑体;SimHei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ab/>
              <w:t>11</w:t>
            </w:r>
          </w:hyperlink>
        </w:p>
        <w:p>
          <w:pPr>
            <w:pStyle w:val="TOC3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7">
            <w:r>
              <w:rPr>
                <w:rStyle w:val="IndexLink"/>
                <w:rFonts w:eastAsia="黑体;SimHei"/>
                <w:lang w:val="zh-CN" w:eastAsia="zh-CN"/>
              </w:rPr>
              <w:t>表3.4.2 BUG-M1-002 音频缓存超过两秒</w:t>
            </w:r>
            <w:r>
              <w:rPr>
                <w:rStyle w:val="IndexLink"/>
                <w:rFonts w:eastAsia="黑体;SimHei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ab/>
              <w:t>11</w:t>
            </w:r>
          </w:hyperlink>
        </w:p>
        <w:p>
          <w:pPr>
            <w:pStyle w:val="TOC3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8">
            <w:r>
              <w:rPr>
                <w:rStyle w:val="IndexLink"/>
                <w:rFonts w:eastAsia="黑体;SimHei"/>
                <w:lang w:val="zh-CN" w:eastAsia="zh-CN"/>
              </w:rPr>
              <w:t xml:space="preserve">3.4.3 客户端连接关闭</w:t>
            </w:r>
            <w:r>
              <w:rPr>
                <w:rStyle w:val="IndexLink"/>
                <w:rFonts w:eastAsia="黑体;SimHei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ab/>
              <w:t>13</w:t>
            </w:r>
          </w:hyperlink>
        </w:p>
        <w:p>
          <w:pPr>
            <w:pStyle w:val="TOC3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19">
            <w:r>
              <w:rPr>
                <w:rStyle w:val="IndexLink"/>
                <w:rFonts w:eastAsia="黑体;SimHei"/>
                <w:lang w:val="zh-CN" w:eastAsia="zh-CN"/>
              </w:rPr>
              <w:t>表3.4.3 BUG-M1-003 浏览器关闭码非法</w:t>
            </w:r>
            <w:r>
              <w:rPr>
                <w:rStyle w:val="IndexLink"/>
                <w:rFonts w:eastAsia="黑体;SimHei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ab/>
              <w:t>13</w:t>
            </w:r>
          </w:hyperlink>
        </w:p>
        <w:p>
          <w:pPr>
            <w:pStyle w:val="TOC3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20">
            <w:r>
              <w:rPr>
                <w:rStyle w:val="IndexLink"/>
                <w:rFonts w:eastAsia="黑体;SimHei"/>
                <w:lang w:val="zh-CN" w:eastAsia="zh-CN"/>
              </w:rPr>
              <w:t xml:space="preserve">3.4.4 客户端错误终止</w:t>
            </w:r>
            <w:r>
              <w:rPr>
                <w:rStyle w:val="IndexLink"/>
                <w:rFonts w:eastAsia="黑体;SimHei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ab/>
              <w:t>15</w:t>
            </w:r>
          </w:hyperlink>
        </w:p>
        <w:p>
          <w:pPr>
            <w:pStyle w:val="TOC3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21">
            <w:r>
              <w:rPr>
                <w:rStyle w:val="IndexLink"/>
                <w:rFonts w:eastAsia="黑体;SimHei"/>
                <w:lang w:val="zh-CN" w:eastAsia="zh-CN"/>
              </w:rPr>
              <w:t>表3.4.4 BUG-M1-004 致命错误后继续发送</w:t>
            </w:r>
            <w:r>
              <w:rPr>
                <w:rStyle w:val="IndexLink"/>
                <w:rFonts w:eastAsia="黑体;SimHei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/>
            </w:r>
            <w:r>
              <w:rPr>
                <w:rStyle w:val="IndexLink"/>
                <w:lang w:val="zh-CN" w:eastAsia="zh-CN"/>
              </w:rPr>
              <w:tab/>
              <w:t>15</w:t>
            </w:r>
          </w:hyperlink>
        </w:p>
        <w:p>
          <w:pPr>
            <w:pStyle w:val="TOC2"/>
            <w:tabs>
              <w:tab w:val="clear" w:pos="420"/>
              <w:tab w:val="right" w:pos="8296" w:leader="dot"/>
            </w:tabs>
            <w:rPr>
              <w:rFonts w:ascii="等线;DengXian" w:hAnsi="等线;DengXian" w:eastAsia="等线;DengXian" w:cs="等线;DengXian"/>
              <w:szCs w:val="22"/>
              <w:lang w:val="zh-CN" w:eastAsia="zh-CN"/>
            </w:rPr>
          </w:pPr>
          <w:hyperlink w:anchor="_ReportHeading22">
            <w:r>
              <w:rPr>
                <w:rStyle w:val="IndexLink"/>
                <w:lang w:val="zh-CN" w:eastAsia="zh-CN"/>
              </w:rPr>
              <w:t>3.5</w:t>
            </w:r>
            <w:r>
              <w:rPr>
                <w:rStyle w:val="IndexLink"/>
                <w:lang w:val="zh-CN" w:eastAsia="zh-CN"/>
              </w:rPr>
              <w:t>结果分析和结论</w:t>
            </w:r>
            <w:r>
              <w:rPr>
                <w:rStyle w:val="IndexLink"/>
                <w:lang w:val="zh-CN" w:eastAsia="zh-CN"/>
              </w:rPr>
              <w:tab/>
              <w:t>16</w:t>
            </w:r>
          </w:hyperlink>
          <w:r>
            <w:rPr>
              <w:rStyle w:val="IndexLink"/>
              <w:lang w:val="zh-CN" w:eastAsia="zh-CN"/>
            </w:rPr>
            <w:fldChar w:fldCharType="end"/>
          </w:r>
        </w:p>
      </w:sdtContent>
    </w:sdt>
    <w:p>
      <w:pPr>
        <w:pStyle w:val="TOC1"/>
        <w:numPr>
          <w:ilvl w:val="0"/>
          <w:numId w:val="0"/>
        </w:numPr>
        <w:rPr>
          <w:rFonts w:ascii="等线;DengXian" w:hAnsi="等线;DengXian" w:eastAsia="等线;DengXian" w:cs="等线;DengXian"/>
          <w:b w:val="false"/>
          <w:bCs w:val="false"/>
          <w:caps w:val="false"/>
          <w:smallCaps w:val="false"/>
          <w:sz w:val="44"/>
          <w:szCs w:val="22"/>
          <w:lang w:val="zh-CN" w:eastAsia="zh-CN"/>
        </w:rPr>
        <w:sectPr>
          <w:headerReference w:type="default" r:id="rId4"/>
          <w:headerReference w:type="first" r:id="rId5"/>
          <w:footerReference w:type="default" r:id="rId6"/>
          <w:footerReference w:type="first" r:id="rId7"/>
          <w:type w:val="nextPage"/>
          <w:pgSz w:w="11906" w:h="16838"/>
          <w:pgMar w:left="1800" w:right="1800" w:gutter="0" w:header="851" w:top="1440" w:footer="992" w:bottom="1440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eastAsia="等线;DengXian" w:cs="等线;DengXian" w:ascii="等线;DengXian" w:hAnsi="等线;DengXian"/>
          <w:b w:val="false"/>
          <w:bCs w:val="false"/>
          <w:caps w:val="false"/>
          <w:smallCaps w:val="false"/>
          <w:sz w:val="44"/>
          <w:szCs w:val="22"/>
          <w:lang w:val="zh-CN" w:eastAsia="zh-CN"/>
        </w:rPr>
      </w:r>
    </w:p>
    <w:p>
      <w:pPr>
        <w:pStyle w:val="Heading1"/>
        <w:spacing w:lineRule="auto" w:line="360"/>
        <w:ind w:hanging="0" w:start="0"/>
        <w:rPr>
          <w:rFonts w:hint="eastAsia"/>
        </w:rPr>
        <w:keepLines/>
      </w:pPr>
      <w:bookmarkStart w:id="500" w:name="_ReportHeading1"/>
      <w:bookmarkStart w:id="0" w:name="__RefHeading___Toc21701966"/>
      <w:bookmarkEnd w:id="0"/>
      <w:r>
        <w:rPr>
          <w:rFonts w:hint="eastAsia"/>
        </w:rPr>
        <w:t>1</w:t>
      </w:r>
      <w:r>
        <w:rPr>
          <w:rFonts w:hint="eastAsia"/>
        </w:rPr>
        <w:t>引言</w:t>
      </w:r>
      <w:bookmarkEnd w:id="500"/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01" w:name="_ReportHeading2"/>
      <w:bookmarkStart w:id="1" w:name="__RefHeading___Toc21701967"/>
      <w:bookmarkEnd w:id="1"/>
      <w:r>
        <w:rPr>
          <w:rFonts w:hint="eastAsia"/>
        </w:rPr>
        <w:t>1.1</w:t>
      </w:r>
      <w:r>
        <w:rPr>
          <w:rFonts w:hint="eastAsia"/>
        </w:rPr>
        <w:t>编写目的</w:t>
      </w:r>
      <w:bookmarkEnd w:id="501"/>
    </w:p>
    <w:p>
      <w:pPr>
        <w:pStyle w:val="Normal"/>
        <w:spacing w:lineRule="auto" w:line="360"/>
        <w:ind w:firstLine="420" w:end="0"/>
        <w:rPr/>
        <w:keepLines/>
      </w:pPr>
      <w:r>
        <w:rPr>
          <w:rFonts w:hint="eastAsia"/>
        </w:rPr>
        <w:t xml:space="preserve">本文档记录实时双语字幕插件模块一测试发现的4项有效缺陷，说明复现条件、实际结果、修复方案和验证结果。预期读者包括：</w:t>
      </w:r>
    </w:p>
    <w:p>
      <w:pPr>
        <w:pStyle w:val="Normal"/>
        <w:numPr>
          <w:ilvl w:val="0"/>
          <w:numId w:val="2"/>
        </w:numPr>
        <w:spacing w:lineRule="auto" w:line="360"/>
        <w:rPr>
          <w:rFonts w:hint="eastAsia"/>
        </w:rPr>
        <w:keepLines/>
      </w:pPr>
      <w:r>
        <w:rPr>
          <w:rFonts w:hint="eastAsia"/>
        </w:rPr>
        <w:t xml:space="preserve">课程教师</w:t>
      </w:r>
    </w:p>
    <w:p>
      <w:pPr>
        <w:pStyle w:val="Normal"/>
        <w:numPr>
          <w:ilvl w:val="0"/>
          <w:numId w:val="2"/>
        </w:numPr>
        <w:spacing w:lineRule="auto" w:line="360"/>
        <w:rPr>
          <w:rFonts w:hint="eastAsia"/>
        </w:rPr>
        <w:keepLines/>
      </w:pPr>
      <w:r>
        <w:rPr>
          <w:rFonts w:hint="eastAsia"/>
        </w:rPr>
        <w:t xml:space="preserve">项目测试人员</w:t>
      </w:r>
    </w:p>
    <w:p>
      <w:pPr>
        <w:pStyle w:val="Normal"/>
        <w:numPr>
          <w:ilvl w:val="0"/>
          <w:numId w:val="2"/>
        </w:numPr>
        <w:spacing w:lineRule="auto" w:line="360"/>
        <w:rPr>
          <w:rFonts w:hint="eastAsia"/>
        </w:rPr>
        <w:keepLines/>
      </w:pPr>
      <w:r>
        <w:rPr>
          <w:rFonts w:hint="eastAsia"/>
        </w:rPr>
        <w:t xml:space="preserve">软件开发与维护人员</w:t>
      </w:r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02" w:name="_ReportHeading3"/>
      <w:bookmarkStart w:id="2" w:name="__RefHeading___Toc21701968"/>
      <w:bookmarkEnd w:id="2"/>
      <w:r>
        <w:rPr>
          <w:rFonts w:hint="eastAsia"/>
        </w:rPr>
        <w:t>1.2</w:t>
      </w:r>
      <w:r>
        <w:rPr>
          <w:rFonts w:hint="eastAsia"/>
        </w:rPr>
        <w:t>背景</w:t>
      </w:r>
      <w:bookmarkEnd w:id="502"/>
    </w:p>
    <w:p>
      <w:pPr>
        <w:pStyle w:val="Normal"/>
        <w:spacing w:lineRule="auto" w:line="360"/>
        <w:ind w:firstLine="420" w:end="0"/>
        <w:rPr/>
        <w:keepLines/>
      </w:pPr>
      <w:r>
        <w:rPr>
          <w:rFonts w:hint="eastAsia"/>
        </w:rPr>
        <w:t xml:space="preserve">本软件采用TypeScript开发，基于Chrome MV3扩展、Node.js网关和共享协议包实现音频处理、实时识别翻译及双语字幕显示。</w:t>
      </w:r>
    </w:p>
    <w:p>
      <w:pPr>
        <w:pStyle w:val="Normal"/>
        <w:spacing w:lineRule="auto" w:line="360"/>
        <w:ind w:firstLine="420" w:end="0"/>
        <w:rPr>
          <w:rFonts w:hint="eastAsia"/>
        </w:rPr>
        <w:keepLines/>
      </w:pPr>
      <w:r>
        <w:rPr>
          <w:rFonts w:hint="eastAsia"/>
        </w:rPr>
        <w:t xml:space="preserve">本软件名称：实时双语字幕插件。</w:t>
      </w:r>
    </w:p>
    <w:p>
      <w:pPr>
        <w:pStyle w:val="Normal"/>
        <w:spacing w:lineRule="auto" w:line="360"/>
        <w:ind w:firstLine="420" w:end="0"/>
        <w:rPr>
          <w:rFonts w:hint="eastAsia"/>
        </w:rPr>
        <w:keepLines/>
      </w:pPr>
      <w:r>
        <w:rPr>
          <w:rFonts w:hint="eastAsia"/>
        </w:rPr>
        <w:t xml:space="preserve">本项目的任务提出者：软件测试与实践课程。</w:t>
      </w:r>
    </w:p>
    <w:p>
      <w:pPr>
        <w:pStyle w:val="Normal"/>
        <w:spacing w:lineRule="auto" w:line="360"/>
        <w:ind w:firstLine="420" w:end="0"/>
        <w:rPr>
          <w:rFonts w:hint="eastAsia"/>
        </w:rPr>
        <w:keepLines/>
      </w:pPr>
      <w:r>
        <w:rPr>
          <w:rFonts w:hint="eastAsia"/>
        </w:rPr>
        <w:t xml:space="preserve">开发者：</w:t>
      </w:r>
    </w:p>
    <w:p>
      <w:pPr>
        <w:pStyle w:val="Normal"/>
        <w:spacing w:lineRule="auto" w:line="360"/>
        <w:ind w:firstLine="420" w:end="0"/>
        <w:rPr>
          <w:rFonts w:hint="eastAsia"/>
        </w:rPr>
        <w:keepLines/>
      </w:pPr>
      <w:r>
        <w:rPr>
          <w:rFonts w:hint="eastAsia"/>
        </w:rPr>
        <w:t xml:space="preserve">用户：需要实时双语字幕的浏览器使用者。</w:t>
      </w:r>
    </w:p>
    <w:p>
      <w:pPr>
        <w:pStyle w:val="Normal"/>
        <w:spacing w:lineRule="auto" w:line="360"/>
        <w:ind w:firstLine="420" w:end="0"/>
        <w:rPr>
          <w:rFonts w:hint="eastAsia"/>
        </w:rPr>
        <w:keepLines/>
      </w:pPr>
      <w:r>
        <w:rPr>
          <w:rFonts w:hint="eastAsia"/>
        </w:rPr>
        <w:t xml:space="preserve">实现网络：浏览器与本地网关通过WebSocket通信；本轮采用fake provider输出固定字幕。</w:t>
      </w:r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03" w:name="_ReportHeading4"/>
      <w:bookmarkStart w:id="3" w:name="__RefHeading___Toc21701969"/>
      <w:bookmarkEnd w:id="3"/>
      <w:r>
        <w:rPr>
          <w:rFonts w:hint="eastAsia"/>
        </w:rPr>
        <w:t>1.3</w:t>
      </w:r>
      <w:r>
        <w:rPr>
          <w:rFonts w:hint="eastAsia"/>
        </w:rPr>
        <w:t>定义</w:t>
      </w:r>
      <w:bookmarkEnd w:id="503"/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</w:rPr>
        <w:keepLines/>
      </w:pPr>
      <w:r>
        <w:rPr>
          <w:rFonts w:hint="eastAsia"/>
          <w:color w:val="000000"/>
        </w:rPr>
        <w:t xml:space="preserve">PCM16为16位音频采样格式，本项目每帧40ms、1280字节；revision为字幕修订号，generation为连接代次，segmentId为字幕段标识；interim和final分别为临时、最终字幕；ready表示会话可发送音频；retryable表示是否允许重试；背压指发送队列积压。</w:t>
      </w:r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04" w:name="_ReportHeading5"/>
      <w:bookmarkStart w:id="4" w:name="__RefHeading___Toc21701970"/>
      <w:bookmarkEnd w:id="4"/>
      <w:r>
        <w:rPr>
          <w:rFonts w:hint="eastAsia"/>
        </w:rPr>
        <w:t>1.4</w:t>
      </w:r>
      <w:r>
        <w:rPr>
          <w:rFonts w:hint="eastAsia"/>
        </w:rPr>
        <w:t>参考资料</w:t>
      </w:r>
      <w:bookmarkEnd w:id="504"/>
    </w:p>
    <w:p>
      <w:pPr>
        <w:pStyle w:val="Normal"/>
        <w:rPr>
          <w:rFonts w:hint="eastAsia"/>
        </w:rPr>
      </w:pPr>
      <w:r>
        <w:rPr>
          <w:rFonts w:hint="eastAsia"/>
        </w:rPr>
      </w:r>
    </w:p>
    <w:tbl>
      <w:tblPr>
        <w:tblW w:w="806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48"/>
        <w:gridCol w:w="1980"/>
        <w:gridCol w:w="2325"/>
        <w:gridCol w:w="1206"/>
        <w:gridCol w:w="1905"/>
      </w:tblGrid>
      <w:tr>
        <w:trPr/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序号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标题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文件名称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发表日期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资料来源</w:t>
            </w:r>
          </w:p>
        </w:tc>
      </w:tr>
      <w:tr>
        <w:trPr/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1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项目说明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README.md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源码工程</w:t>
            </w:r>
          </w:p>
        </w:tc>
      </w:tr>
      <w:tr>
        <w:trPr/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2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测试用例清单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测试用例清单.xlsx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小组交付件</w:t>
            </w:r>
          </w:p>
        </w:tc>
      </w:tr>
      <w:tr>
        <w:trPr/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3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执行与回归记录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summary.json、regression.log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2026-09-11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outputs/module1_by/evidence</w:t>
            </w:r>
          </w:p>
        </w:tc>
      </w:tr>
      <w:tr>
        <w:trPr/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4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修复前源码快照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original-sources.json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tests/module1及module1-lcy</w:t>
            </w:r>
          </w:p>
        </w:tc>
      </w:tr>
      <w:tr>
        <w:trPr/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5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WebSocket关闭规则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WebSockets Standard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WHATWG：websockets.spec.whatwg.org</w:t>
            </w:r>
          </w:p>
        </w:tc>
      </w:tr>
    </w:tbl>
    <w:p>
      <w:pPr>
        <w:pStyle w:val="Heading1"/>
        <w:spacing w:lineRule="auto" w:line="360"/>
        <w:ind w:hanging="0" w:start="0"/>
        <w:rPr>
          <w:rFonts w:hint="eastAsia"/>
        </w:rPr>
        <w:keepLines/>
      </w:pPr>
      <w:bookmarkStart w:id="505" w:name="_ReportHeading6"/>
      <w:bookmarkStart w:id="5" w:name="__RefHeading___Toc21701971"/>
      <w:bookmarkEnd w:id="5"/>
      <w:r>
        <w:rPr>
          <w:rFonts w:hint="eastAsia"/>
        </w:rPr>
        <w:t>2</w:t>
      </w:r>
      <w:r>
        <w:rPr>
          <w:rFonts w:hint="eastAsia"/>
        </w:rPr>
        <w:t>测试环境</w:t>
      </w:r>
      <w:bookmarkEnd w:id="505"/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06" w:name="_ReportHeading7"/>
      <w:bookmarkStart w:id="6" w:name="__RefHeading___Toc21701972"/>
      <w:bookmarkEnd w:id="6"/>
      <w:r>
        <w:rPr>
          <w:rFonts w:hint="eastAsia"/>
        </w:rPr>
        <w:t>2.1</w:t>
      </w:r>
      <w:r>
        <w:rPr>
          <w:rFonts w:hint="eastAsia"/>
        </w:rPr>
        <w:t>硬件环境</w:t>
      </w:r>
      <w:bookmarkEnd w:id="506"/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  <w:color w:val="000000"/>
        </w:rPr>
        <w:keepLines/>
      </w:pPr>
      <w:r>
        <w:rPr>
          <w:rFonts w:hint="eastAsia"/>
          <w:color w:val="000000"/>
        </w:rPr>
        <w:t xml:space="preserve">CPU为Apple M5，架构arm64，内存16 GiB；自动化采用固定PCM数据，无需麦克风或外置采集设备，浏览器测试由Chromium执行。</w:t>
      </w:r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07" w:name="_ReportHeading8"/>
      <w:bookmarkStart w:id="7" w:name="__RefHeading___Toc21701973"/>
      <w:bookmarkEnd w:id="7"/>
      <w:r>
        <w:rPr>
          <w:rFonts w:hint="eastAsia"/>
        </w:rPr>
        <w:t>2.2</w:t>
      </w:r>
      <w:r>
        <w:rPr>
          <w:rFonts w:hint="eastAsia"/>
        </w:rPr>
        <w:t>软件环境</w:t>
      </w:r>
      <w:bookmarkEnd w:id="507"/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  <w:color w:val="000000"/>
        </w:rPr>
        <w:keepLines/>
      </w:pPr>
      <w:r>
        <w:rPr>
          <w:rFonts w:hint="eastAsia"/>
          <w:color w:val="000000"/>
        </w:rPr>
        <w:t xml:space="preserve">Darwin 25.4.0，Node.js 24.19.0，npm 11.16.0，Vitest 3.2.7，Playwright 1.62.1及配套Chromium。无需数据库；本机需允许HTTP/WebSocket随机端口监听。首次安装依赖需要网络，测试运行不调用真实云端语音服务。</w:t>
      </w:r>
    </w:p>
    <w:p>
      <w:pPr>
        <w:pStyle w:val="Heading1"/>
        <w:spacing w:lineRule="auto" w:line="360"/>
        <w:ind w:hanging="0" w:start="0"/>
        <w:rPr>
          <w:rFonts w:hint="eastAsia"/>
        </w:rPr>
        <w:keepLines/>
      </w:pPr>
      <w:bookmarkStart w:id="508" w:name="_ReportHeading9"/>
      <w:r>
        <w:rPr>
          <w:rFonts w:hint="eastAsia"/>
        </w:rPr>
        <w:t xml:space="preserve">3 功能与边界测试</w:t>
      </w:r>
      <w:bookmarkEnd w:id="508"/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09" w:name="_ReportHeading10"/>
      <w:bookmarkStart w:id="9" w:name="__RefHeading___Toc21701975"/>
      <w:bookmarkEnd w:id="9"/>
      <w:r>
        <w:rPr>
          <w:rFonts w:hint="eastAsia"/>
        </w:rPr>
        <w:t>3.1</w:t>
      </w:r>
      <w:r>
        <w:rPr>
          <w:rFonts w:hint="eastAsia"/>
        </w:rPr>
        <w:t>被测软件</w:t>
      </w:r>
      <w:bookmarkEnd w:id="509"/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  <w:color w:val="000000"/>
        </w:rPr>
        <w:keepLines/>
      </w:pPr>
      <w:r>
        <w:rPr>
          <w:rFonts w:hint="eastAsia"/>
          <w:color w:val="000000"/>
        </w:rPr>
        <w:t xml:space="preserve">被测软件版本0.1.0，位于作业仓库source_code/Real-time-translation-plugin-main。修复前版本由测试目录original-sources.json保存；归档修复版由evidence/fixed-source-hashes.json识别，相关修复已纳入仓库提交b9f2ac6。</w:t>
      </w:r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10" w:name="_ReportHeading11"/>
      <w:bookmarkStart w:id="10" w:name="__RefHeading___Toc21701976"/>
      <w:bookmarkEnd w:id="10"/>
      <w:r>
        <w:rPr>
          <w:rFonts w:hint="eastAsia"/>
        </w:rPr>
        <w:t>3.2</w:t>
      </w:r>
      <w:r>
        <w:rPr>
          <w:rFonts w:hint="eastAsia"/>
        </w:rPr>
        <w:t>测试策略</w:t>
      </w:r>
      <w:bookmarkEnd w:id="510"/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</w:rPr>
        <w:keepLines/>
      </w:pPr>
      <w:r>
        <w:rPr>
          <w:rFonts w:hint="eastAsia"/>
        </w:rPr>
        <w:t xml:space="preserve">采用边界值、等价类和场景法，覆盖字幕最终状态、两秒缓存、浏览器关闭规则和致命错误后的连接状态。通过模拟连接、本地网关及真实浏览器构造条件，依据实际断言按独立根因归类；修复后同时运行缺陷用例与正向用例。</w:t>
      </w:r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11" w:name="_ReportHeading12"/>
      <w:bookmarkStart w:id="11" w:name="__RefHeading___Toc21701977"/>
      <w:bookmarkEnd w:id="11"/>
      <w:r>
        <w:rPr>
          <w:rFonts w:hint="eastAsia"/>
        </w:rPr>
        <w:t>3.3</w:t>
      </w:r>
      <w:r>
        <w:rPr>
          <w:rFonts w:hint="eastAsia"/>
        </w:rPr>
        <w:t>执行步骤</w:t>
      </w:r>
      <w:bookmarkEnd w:id="511"/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  <w:color w:val="000000"/>
        </w:rPr>
        <w:keepLines/>
      </w:pPr>
      <w:r>
        <w:rPr>
          <w:rFonts w:hint="eastAsia"/>
          <w:color w:val="000000"/>
        </w:rPr>
        <w:t xml:space="preserve">1. 从作业仓库进入source_code/Real-time-translation-plugin-main，执行npm ci和npx playwright install chromium。无需特殊硬件设置；测试入口自动启动本地网关并加载浏览器脚本。</w:t>
      </w:r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  <w:color w:val="000000"/>
        </w:rPr>
        <w:keepLines/>
      </w:pPr>
      <w:r>
        <w:rPr>
          <w:rFonts w:hint="eastAsia"/>
          <w:color w:val="000000"/>
        </w:rPr>
        <w:t xml:space="preserve">2. 修复前复现：依次执行npm run test:module1:reproduce -- BUG-M1-001、npm run test:module1:reproduce -- BUG-M1-002，以及npm run test:module1:lcy:reproduce。核对目标用例的失败断言，非零退出码本身不等于缺陷证据。</w:t>
      </w:r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  <w:color w:val="000000"/>
        </w:rPr>
        <w:keepLines/>
      </w:pPr>
      <w:r>
        <w:rPr>
          <w:rFonts w:hint="eastAsia"/>
          <w:color w:val="000000"/>
        </w:rPr>
        <w:t xml:space="preserve">3. 修复验证：执行npm run test:module1:all，再执行npm run test:regression:lcy。保存summary.json、框架报告及日志，核对目标用例与正常路径。归档记录位于outputs/module1_by/evidence，下表附件路径均相对于该目录。</w:t>
      </w:r>
    </w:p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12" w:name="_ReportHeading13"/>
      <w:bookmarkStart w:id="12" w:name="__RefHeading___Toc21701978"/>
      <w:bookmarkEnd w:id="12"/>
      <w:r>
        <w:rPr>
          <w:rFonts w:hint="eastAsia"/>
        </w:rPr>
        <w:t>3.4</w:t>
      </w:r>
      <w:r>
        <w:rPr>
          <w:rFonts w:hint="eastAsia"/>
        </w:rPr>
        <w:t>缺陷表</w:t>
      </w:r>
      <w:bookmarkEnd w:id="512"/>
    </w:p>
    <w:p>
      <w:pPr>
        <w:pStyle w:val="Heading3"/>
        <w:spacing w:lineRule="auto" w:line="360" w:before="60" w:after="60"/>
        <w:ind w:hanging="0" w:start="0"/>
        <w:rPr/>
        <w:keepLines/>
      </w:pPr>
      <w:bookmarkStart w:id="513" w:name="_ReportHeading14"/>
      <w:r>
        <w:rPr>
          <w:rFonts w:eastAsia="黑体;SimHei" w:hint="eastAsia"/>
          <w:sz w:val="28"/>
          <w:szCs w:val="28"/>
        </w:rPr>
        <w:t xml:space="preserve">3.4.1 字幕状态与浮层</w:t>
      </w:r>
      <w:bookmarkEnd w:id="513"/>
    </w:p>
    <w:p>
      <w:pPr>
        <w:pStyle w:val="Heading3"/>
        <w:spacing w:lineRule="auto" w:line="360" w:before="60" w:after="60"/>
        <w:ind w:hanging="0" w:start="0"/>
        <w:rPr>
          <w:rFonts w:eastAsia="黑体;SimHei"/>
          <w:sz w:val="28"/>
          <w:szCs w:val="28"/>
        </w:rPr>
        <w:keepLines/>
      </w:pPr>
      <w:bookmarkStart w:id="514" w:name="_ReportHeading15"/>
      <w:r>
        <w:rPr>
          <w:rFonts w:eastAsia="黑体;SimHei"/>
          <w:sz w:val="28"/>
          <w:szCs w:val="28"/>
        </w:rPr>
        <w:t xml:space="preserve">表3.4.1  BUG-M1-001 最终字幕重复显示</w:t>
      </w:r>
      <w:bookmarkEnd w:id="514"/>
    </w:p>
    <w:tbl>
      <w:tblPr>
        <w:tblW w:w="767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白宇</w:t>
            </w:r>
          </w:p>
        </w:tc>
        <w:tc>
          <w:tcPr>
            <w:tcW w:w="188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2026-09-11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字幕状态与浮层</w:t>
            </w:r>
          </w:p>
        </w:tc>
        <w:tc>
          <w:tcPr>
            <w:tcW w:w="188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BUG-M1-001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README：最终结果固定，临时结果原位修订。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M1-025、M1-037</w:t>
            </w:r>
          </w:p>
        </w:tc>
      </w:tr>
      <w:tr>
        <w:trPr>
          <w:trHeight w:val="110" w:hRule="atLeast"/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中</w:t>
            </w:r>
          </w:p>
        </w:tc>
        <w:tc>
          <w:tcPr>
            <w:tcW w:w="139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中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状态</w:t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已修复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分配给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发送给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同一最终片段被后到临时结果再次显示</w:t>
            </w:r>
          </w:p>
        </w:tc>
      </w:tr>
      <w:tr>
        <w:trPr>
          <w:cantSplit/>
        </w:trPr>
        <w:tc>
          <w:tcPr>
            <w:tcW w:w="7676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详细描述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前置条件：空字幕状态；同一session、generation=0、segmentId=s1。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1. 发送final=true、revision=2、文本hello 2。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2. 发送同片段final=false、revision=3、文本hello 3。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3. 检查状态及浏览器浮层。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预期结果：只保留最终片段hello 2；interim为空。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实际结果：原版状态保留final rev2，又设置interim rev3；浏览器同时显示hello 2与hello 3及其译文。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/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run-001-038/summary.json；修复前快照见测试目录。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无；两个失败用例属于同一缺陷。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根因：仅检查revision是否递增，没有阻止已最终确认的当前片段回到临时状态。content.ts内重复实现也存在同样问题。</w:t>
            </w:r>
          </w:p>
        </w:tc>
      </w:tr>
      <w:tr>
        <w:trPr>
          <w:cantSplit/>
        </w:trPr>
        <w:tc>
          <w:tcPr>
            <w:tcW w:w="7676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  <w:keepNext/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</w:t>
            </w: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build</w:t>
            </w:r>
          </w:p>
        </w:tc>
        <w:tc>
          <w:tcPr>
            <w:tcW w:w="200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b9f2ac6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修改源码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共享合并函数和浮层合并函数同时增加保护：同generation、同segmentId已有final时忽略后到interim；保留新代次重置行为。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验证：M1-025/037回归通过；M1-024验证新代次仍可接收rev0。修复前快照可通过复现脚本重放。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</w:tbl>
    <w:p>
      <w:pPr>
        <w:pStyle w:val="Heading3"/>
        <w:spacing w:lineRule="auto" w:line="360" w:before="60" w:after="60"/>
        <w:ind w:hanging="0" w:start="0"/>
        <w:rPr/>
        <w:keepLines/>
        <w:pageBreakBefore/>
      </w:pPr>
      <w:bookmarkStart w:id="515" w:name="_ReportHeading16"/>
      <w:r>
        <w:rPr>
          <w:rFonts w:eastAsia="黑体;SimHei" w:hint="eastAsia"/>
          <w:sz w:val="28"/>
          <w:szCs w:val="28"/>
        </w:rPr>
        <w:t xml:space="preserve">3.4.2 客户端音频缓存</w:t>
      </w:r>
      <w:bookmarkEnd w:id="515"/>
    </w:p>
    <w:p>
      <w:pPr>
        <w:pStyle w:val="Heading3"/>
        <w:spacing w:lineRule="auto" w:line="360" w:before="60" w:after="60"/>
        <w:ind w:hanging="0" w:start="0"/>
        <w:rPr>
          <w:rFonts w:eastAsia="黑体;SimHei"/>
          <w:sz w:val="28"/>
          <w:szCs w:val="28"/>
        </w:rPr>
        <w:keepLines/>
      </w:pPr>
      <w:bookmarkStart w:id="516" w:name="_ReportHeading17"/>
      <w:r>
        <w:rPr>
          <w:rFonts w:eastAsia="黑体;SimHei"/>
          <w:sz w:val="28"/>
          <w:szCs w:val="28"/>
        </w:rPr>
        <w:t xml:space="preserve">表3.4.2  BUG-M1-002 音频缓存超过两秒</w:t>
      </w:r>
      <w:bookmarkEnd w:id="516"/>
    </w:p>
    <w:tbl>
      <w:tblPr>
        <w:tblW w:w="767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白宇</w:t>
            </w:r>
          </w:p>
        </w:tc>
        <w:tc>
          <w:tcPr>
            <w:tcW w:w="188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2026-09-11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客户端音频缓存</w:t>
            </w:r>
          </w:p>
        </w:tc>
        <w:tc>
          <w:tcPr>
            <w:tcW w:w="188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BUG-M1-002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README：弱网重连最多缓存最近2秒PCM；超出范围提示字幕可能缺失。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M1-027</w:t>
            </w:r>
          </w:p>
        </w:tc>
      </w:tr>
      <w:tr>
        <w:trPr>
          <w:trHeight w:val="110" w:hRule="atLeast"/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低</w:t>
            </w:r>
          </w:p>
        </w:tc>
        <w:tc>
          <w:tcPr>
            <w:tcW w:w="139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中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状态</w:t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已修复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分配给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发送给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两秒PCM缓存多保留一帧</w:t>
            </w:r>
          </w:p>
        </w:tc>
      </w:tr>
      <w:tr>
        <w:trPr>
          <w:cantSplit/>
        </w:trPr>
        <w:tc>
          <w:tcPr>
            <w:tcW w:w="7676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详细描述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前置条件：客户端已连接但尚未ready，使用MockSocket；每帧1280字节，40ms。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1. 连续push序号0至50的51帧。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2. audioEndMs依次为40、80直至2040。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3. 派发ready，检查发出的二进制帧及audio_gap。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预期结果：发出序号1至50共50帧，总时长2000ms；报告audio_gap。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实际结果：原版发出序号0至50共51帧，总时长2040ms，未淘汰最旧帧。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/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run-001-038/summary.json；修复前快照见测试目录。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无。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根因：用最新与最旧帧结束时间之差判断容量，2040−40=2000，没有计入第一帧覆盖的40ms。</w:t>
            </w:r>
          </w:p>
        </w:tc>
      </w:tr>
      <w:tr>
        <w:trPr>
          <w:cantSplit/>
        </w:trPr>
        <w:tc>
          <w:tcPr>
            <w:tcW w:w="7676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  <w:keepNext/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</w:t>
            </w: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build</w:t>
            </w:r>
          </w:p>
        </w:tc>
        <w:tc>
          <w:tcPr>
            <w:tcW w:w="200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b9f2ac6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修改源码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缓存跨度补加PCM_FORMAT.frameDurationMs，超过2000ms即淘汰旧帧；沿用缺失提示机制。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验证：M1-026保留50帧；M1-027仅保留后50帧并提示缺失，均通过。修复前快照可通过复现脚本重放。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</w:tbl>
    <w:p>
      <w:pPr>
        <w:pStyle w:val="Heading3"/>
        <w:spacing w:lineRule="auto" w:line="360" w:before="60" w:after="60"/>
        <w:ind w:hanging="0" w:start="0"/>
        <w:rPr/>
        <w:keepLines/>
        <w:pageBreakBefore/>
      </w:pPr>
      <w:bookmarkStart w:id="517" w:name="_ReportHeading18"/>
      <w:r>
        <w:rPr>
          <w:rFonts w:eastAsia="黑体;SimHei" w:hint="eastAsia"/>
          <w:sz w:val="28"/>
          <w:szCs w:val="28"/>
        </w:rPr>
        <w:t xml:space="preserve">3.4.3 客户端连接关闭</w:t>
      </w:r>
      <w:bookmarkEnd w:id="517"/>
    </w:p>
    <w:p>
      <w:pPr>
        <w:pStyle w:val="Heading3"/>
        <w:spacing w:lineRule="auto" w:line="360" w:before="60" w:after="60"/>
        <w:ind w:hanging="0" w:start="0"/>
        <w:rPr>
          <w:rFonts w:eastAsia="黑体;SimHei"/>
          <w:sz w:val="28"/>
          <w:szCs w:val="28"/>
        </w:rPr>
        <w:keepLines/>
      </w:pPr>
      <w:bookmarkStart w:id="518" w:name="_ReportHeading19"/>
      <w:r>
        <w:rPr>
          <w:rFonts w:eastAsia="黑体;SimHei"/>
          <w:sz w:val="28"/>
          <w:szCs w:val="28"/>
        </w:rPr>
        <w:t xml:space="preserve">表3.4.3  BUG-M1-003 浏览器关闭码非法</w:t>
      </w:r>
      <w:bookmarkEnd w:id="518"/>
    </w:p>
    <w:tbl>
      <w:tblPr>
        <w:tblW w:w="767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李承远</w:t>
            </w:r>
          </w:p>
        </w:tc>
        <w:tc>
          <w:tcPr>
            <w:tcW w:w="188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2026-09-11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客户端连接关闭</w:t>
            </w:r>
          </w:p>
        </w:tc>
        <w:tc>
          <w:tcPr>
            <w:tcW w:w="188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BUG-M1-003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浏览器WebSocket.close允许1000或3000–4999；客户端应正常进入背压恢复或致命关闭。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M1-059、M1-060</w:t>
            </w:r>
          </w:p>
        </w:tc>
      </w:tr>
      <w:tr>
        <w:trPr>
          <w:trHeight w:val="110" w:hRule="atLeast"/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中</w:t>
            </w:r>
          </w:p>
        </w:tc>
        <w:tc>
          <w:tcPr>
            <w:tcW w:w="139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高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状态</w:t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已修复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分配给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发送给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浏览器调用非法关闭码导致异常</w:t>
            </w:r>
          </w:p>
        </w:tc>
      </w:tr>
      <w:tr>
        <w:trPr>
          <w:cantSplit/>
        </w:trPr>
        <w:tc>
          <w:tcPr>
            <w:tcW w:w="7676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详细描述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前置条件：Chromium真实WebSocket已握手ready，保留原生close方法。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1. 将bufferedAmount设为262145，push一帧PCM。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2. 独立连接接收合法unauthorized、retryable=false错误。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3. 检查异常、错误回调与服务器收到的关闭码。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预期结果：背压路径不抛异常并关闭以恢复；致命错误保留unauthorized并正常关闭。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实际结果：背压路径close(1013)抛InvalidAccessError；致命路径close(1008)异常被捕获并误报invalid_server_message。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/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protocol-before/、close-code-check/、run-039-062/；BUG-M1-003.patch。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BUG-M1-004独立；两条原生浏览器用例对应本缺陷。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根因：客户端混用了服务端协议状态码与浏览器脚本允许的close参数。</w:t>
            </w:r>
          </w:p>
        </w:tc>
      </w:tr>
      <w:tr>
        <w:trPr>
          <w:cantSplit/>
        </w:trPr>
        <w:tc>
          <w:tcPr>
            <w:tcW w:w="7676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  <w:keepNext/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</w:t>
            </w: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build</w:t>
            </w:r>
          </w:p>
        </w:tc>
        <w:tc>
          <w:tcPr>
            <w:tcW w:w="200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b9f2ac6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修改源码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将背压关闭码改为4013，致命关闭码改为4008，保持原有重连策略。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验证：仅修改关闭码后M1-059/060通过；M1-049/061仍失败，表明两项缺陷根因不同。全部62条课程用例回归通过。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</w:tbl>
    <w:p>
      <w:pPr>
        <w:pStyle w:val="Heading3"/>
        <w:spacing w:lineRule="auto" w:line="360" w:before="60" w:after="60"/>
        <w:ind w:hanging="0" w:start="0"/>
        <w:rPr/>
        <w:keepLines/>
        <w:pageBreakBefore/>
      </w:pPr>
      <w:bookmarkStart w:id="519" w:name="_ReportHeading20"/>
      <w:r>
        <w:rPr>
          <w:rFonts w:eastAsia="黑体;SimHei" w:hint="eastAsia"/>
          <w:sz w:val="28"/>
          <w:szCs w:val="28"/>
        </w:rPr>
        <w:t xml:space="preserve">3.4.4 客户端错误终止</w:t>
      </w:r>
      <w:bookmarkEnd w:id="519"/>
    </w:p>
    <w:p>
      <w:pPr>
        <w:pStyle w:val="Heading3"/>
        <w:spacing w:lineRule="auto" w:line="360" w:before="60" w:after="60"/>
        <w:ind w:hanging="0" w:start="0"/>
        <w:rPr>
          <w:rFonts w:eastAsia="黑体;SimHei"/>
          <w:sz w:val="28"/>
          <w:szCs w:val="28"/>
        </w:rPr>
        <w:keepLines/>
      </w:pPr>
      <w:bookmarkStart w:id="520" w:name="_ReportHeading21"/>
      <w:r>
        <w:rPr>
          <w:rFonts w:eastAsia="黑体;SimHei"/>
          <w:sz w:val="28"/>
          <w:szCs w:val="28"/>
        </w:rPr>
        <w:t xml:space="preserve">表3.4.4  BUG-M1-004 致命错误后继续发送</w:t>
      </w:r>
      <w:bookmarkEnd w:id="520"/>
    </w:p>
    <w:tbl>
      <w:tblPr>
        <w:tblW w:w="767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李承远</w:t>
            </w:r>
          </w:p>
        </w:tc>
        <w:tc>
          <w:tcPr>
            <w:tcW w:w="188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2026-09-11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客户端错误终止</w:t>
            </w:r>
          </w:p>
        </w:tc>
        <w:tc>
          <w:tcPr>
            <w:tcW w:w="188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jc w:val="center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BUG-M1-004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不可重试协议错误应终止本次会话，停止PCM并避免自动重连。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M1-049、M1-061</w:t>
            </w:r>
          </w:p>
        </w:tc>
      </w:tr>
      <w:tr>
        <w:trPr>
          <w:trHeight w:val="110" w:hRule="atLeast"/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中</w:t>
            </w:r>
          </w:p>
        </w:tc>
        <w:tc>
          <w:tcPr>
            <w:tcW w:w="139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高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状态</w:t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已修复</w:t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分配给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发送给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5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本地致命协议错误后仍发送音频</w:t>
            </w:r>
          </w:p>
        </w:tc>
      </w:tr>
      <w:tr>
        <w:trPr>
          <w:cantSplit/>
        </w:trPr>
        <w:tc>
          <w:tcPr>
            <w:tcW w:w="7676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详细描述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前置条件：客户端已ready；记录Socket发送和关闭；模拟时钟。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1. 注入无法解析的JSON，随后push PCM。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2. 独立连接注入其他sessionId的合法ready，再push PCM。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3. 检查发送、关闭及推进10秒后的连接数。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预期结果：报告对应不可重试错误；不再发送PCM，关闭会话且不自动重连。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实际结果：错误回调retryable=false，但ready仍有效，随后PCM继续发送且Socket保持开启。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/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protocol-before/、close-code-check/、run-039-062/；BUG-M1-004.patch。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与BUG-M1-003独立；检查错误后的音频发送、关闭与重连行为。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>根因：本地错误分支只通知回调，未统一清理ready、待发缓存、重连计时器和连接。</w:t>
            </w:r>
          </w:p>
        </w:tc>
      </w:tr>
      <w:tr>
        <w:trPr>
          <w:cantSplit/>
        </w:trPr>
        <w:tc>
          <w:tcPr>
            <w:tcW w:w="7676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  <w:keepNext/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</w:t>
            </w: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build</w:t>
            </w:r>
          </w:p>
        </w:tc>
        <w:tc>
          <w:tcPr>
            <w:tcW w:w="200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b9f2ac6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修改源码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增加stopAfterFatalError统一停止方法；本地及服务端致命错误调用；停止后忽略push和消息。</w:t>
            </w:r>
          </w:p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>验证：M1-049/061在只修关闭码时仍失败，完整修复后通过；M1-062验证可重试错误仍能重连发送。</w:t>
            </w:r>
          </w:p>
        </w:tc>
      </w:tr>
      <w:tr>
        <w:trPr>
          <w:cantSplit/>
        </w:trPr>
        <w:tc>
          <w:tcPr>
            <w:tcW w:w="16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right" w:pos="8296" w:leader="dot"/>
              </w:tabs>
              <w:snapToGrid w:val="false"/>
              <w:spacing w:before="120" w:after="120"/>
              <w:rPr>
                <w:rFonts w:hint="eastAsia"/>
                <w:bCs/>
                <w:sz w:val="18"/>
                <w:szCs w:val="18"/>
                <w:lang w:val="zh-CN" w:eastAsia="zh-CN"/>
              </w:rPr>
            </w:pPr>
            <w:r>
              <w:rPr>
                <w:rFonts w:hint="eastAsia"/>
                <w:bCs/>
                <w:sz w:val="18"/>
                <w:szCs w:val="18"/>
                <w:lang w:val="zh-CN" w:eastAsia="zh-CN"/>
              </w:rPr>
              <w:t xml:space="preserve"/>
            </w:r>
          </w:p>
        </w:tc>
      </w:tr>
    </w:tbl>
    <w:p>
      <w:pPr>
        <w:pStyle w:val="Heading2"/>
        <w:spacing w:lineRule="auto" w:line="360"/>
        <w:ind w:hanging="0" w:start="0"/>
        <w:rPr>
          <w:rFonts w:hint="eastAsia"/>
        </w:rPr>
        <w:keepLines/>
      </w:pPr>
      <w:bookmarkStart w:id="521" w:name="_ReportHeading22"/>
      <w:bookmarkStart w:id="15" w:name="__RefHeading___Toc21701981"/>
      <w:bookmarkEnd w:id="15"/>
      <w:r>
        <w:rPr>
          <w:rFonts w:hint="eastAsia"/>
        </w:rPr>
        <w:t>3.5</w:t>
      </w:r>
      <w:r>
        <w:rPr>
          <w:rFonts w:hint="eastAsia"/>
        </w:rPr>
        <w:t>结果分析和结论</w:t>
      </w:r>
      <w:bookmarkEnd w:id="521"/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  <w:color w:val="000000"/>
        </w:rPr>
        <w:keepLines/>
      </w:pPr>
      <w:r>
        <w:rPr>
          <w:rFonts w:hint="eastAsia"/>
          <w:color w:val="000000"/>
        </w:rPr>
        <w:t xml:space="preserve">缺陷共4项：字幕状态1项、音频缓存1项、连接错误处理2项；严重程度中3项、低1项。四项均已修复并通过自动化回归。修复后62条课程用例全部通过，失败、跳过及未执行均为0，本轮功能与边界测试通过。</w:t>
      </w:r>
    </w:p>
    <w:p>
      <w:pPr>
        <w:pStyle w:val="Normal"/>
        <w:spacing w:lineRule="auto" w:line="360"/>
        <w:ind w:firstLineChars="200" w:startChars="0" w:start="0" w:endChars="0" w:end="0"/>
        <w:rPr>
          <w:rFonts w:hint="eastAsia"/>
          <w:color w:val="000000"/>
        </w:rPr>
        <w:keepLines/>
      </w:pPr>
      <w:r>
        <w:rPr>
          <w:rFonts w:hint="eastAsia"/>
          <w:color w:val="000000"/>
        </w:rPr>
        <w:t xml:space="preserve">关闭码与生命周期问题分阶段验证：修复前M1-049/059/060/061共4条失败；只修关闭码后2条通过、2条失败；完整修复后4条通过，M1-062确认可重试恢复正常。真实音频、云端效果与Safari宿主仍需后续验收。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800" w:right="1800" w:gutter="0" w:header="851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modern"/>
    <w:pitch w:val="default"/>
  </w:font>
  <w:font w:name="等线">
    <w:altName w:val="DengXia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3</w:t>
    </w:r>
    <w:r>
      <w:rPr>
        <w:b/>
        <w:sz w:val="24"/>
        <w:szCs w:val="24"/>
      </w:rPr>
      <w:fldChar w:fldCharType="end"/>
    </w:r>
    <w:r>
      <w:rPr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  <w:r>
      <w:rPr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Fonts w:hint="eastAsia"/>
      </w:rPr>
      <w:t>武剑洁</w:t>
    </w:r>
    <w:r>
      <w:rPr/>
      <w:tab/>
    </w:r>
    <w:r>
      <w:rPr>
        <w:rFonts w:hint="eastAsia"/>
      </w:rPr>
      <w:t>软件测试与质量保证实践</w:t>
    </w:r>
    <w:r>
      <w:rPr/>
      <w:tab/>
    </w:r>
    <w:r>
      <w:rPr>
        <w:rFonts w:hint="eastAsia"/>
      </w:rPr>
      <w:t>华中科技大学软件学院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Fonts w:hint="eastAsia"/>
      </w:rPr>
      <w:t>武剑洁</w:t>
    </w:r>
    <w:r>
      <w:rPr/>
      <w:tab/>
    </w:r>
    <w:r>
      <w:rPr>
        <w:rFonts w:hint="eastAsia"/>
      </w:rPr>
      <w:t>软件测试与质量保证实践</w:t>
    </w:r>
    <w:r>
      <w:rPr/>
      <w:tab/>
    </w:r>
    <w:r>
      <w:rPr>
        <w:rFonts w:hint="eastAsia"/>
      </w:rPr>
      <w:t>华中科技大学软件学院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Fonts w:hint="eastAsia"/>
      </w:rPr>
      <w:t>武剑洁</w:t>
    </w:r>
    <w:r>
      <w:rPr/>
      <w:tab/>
    </w:r>
    <w:r>
      <w:rPr>
        <w:rFonts w:hint="eastAsia"/>
      </w:rPr>
      <w:t>软件测试与质量保证实践</w:t>
    </w:r>
    <w:r>
      <w:rPr/>
      <w:tab/>
    </w:r>
    <w:r>
      <w:rPr>
        <w:rFonts w:hint="eastAsia"/>
      </w:rPr>
      <w:t>华中科技大学软件学院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840"/>
        </w:tabs>
        <w:ind w:start="840" w:hanging="42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Wingdings" w:hAnsi="Wingdings" w:cs="Wingdings"/>
    </w:rPr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rFonts w:hint="eastAsia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>
      <w:rFonts w:hint="eastAsia"/>
    </w:rPr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Wingdings" w:hAnsi="Wingdings" w:cs="Wingdings"/>
    </w:rPr>
  </w:style>
  <w:style w:type="character" w:styleId="WW8Num25z0">
    <w:name w:val="WW8Num25z0"/>
    <w:qFormat/>
    <w:rPr>
      <w:rFonts w:ascii="Wingdings" w:hAnsi="Wingdings" w:cs="Wingdings"/>
    </w:rPr>
  </w:style>
  <w:style w:type="character" w:styleId="WW8Num26z0">
    <w:name w:val="WW8Num26z0"/>
    <w:qFormat/>
    <w:rPr>
      <w:rFonts w:ascii="Wingdings" w:hAnsi="Wingdings" w:cs="Wingdings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rFonts w:hint="eastAsia"/>
    </w:rPr>
  </w:style>
  <w:style w:type="character" w:styleId="WW8Num30z0">
    <w:name w:val="WW8Num30z0"/>
    <w:qFormat/>
    <w:rPr/>
  </w:style>
  <w:style w:type="character" w:styleId="WW8Num31z0">
    <w:name w:val="WW8Num31z0"/>
    <w:qFormat/>
    <w:rPr>
      <w:rFonts w:ascii="Wingdings" w:hAnsi="Wingdings" w:cs="Wingdings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rFonts w:ascii="Wingdings" w:hAnsi="Wingdings" w:cs="Wingdings"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hint="eastAsia"/>
    </w:rPr>
  </w:style>
  <w:style w:type="character" w:styleId="WW8Num37z0">
    <w:name w:val="WW8Num37z0"/>
    <w:qFormat/>
    <w:rPr>
      <w:rFonts w:hint="eastAsia"/>
    </w:rPr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/>
  </w:style>
  <w:style w:type="character" w:styleId="WW8Num41z0">
    <w:name w:val="WW8Num41z0"/>
    <w:qFormat/>
    <w:rPr>
      <w:rFonts w:ascii="Wingdings" w:hAnsi="Wingdings" w:cs="Wingdings"/>
    </w:rPr>
  </w:style>
  <w:style w:type="character" w:styleId="WW8Num42z0">
    <w:name w:val="WW8Num42z0"/>
    <w:qFormat/>
    <w:rPr>
      <w:rFonts w:hint="eastAsia"/>
    </w:rPr>
  </w:style>
  <w:style w:type="character" w:styleId="WW8Num43z0">
    <w:name w:val="WW8Num43z0"/>
    <w:qFormat/>
    <w:rPr>
      <w:rFonts w:hint="eastAsia"/>
    </w:rPr>
  </w:style>
  <w:style w:type="character" w:styleId="Style11">
    <w:name w:val="默认段落字体"/>
    <w:qFormat/>
    <w:rPr/>
  </w:style>
  <w:style w:type="character" w:styleId="Hyperlink">
    <w:name w:val="Hyperlink"/>
    <w:rPr>
      <w:color w:val="0000FF"/>
      <w:u w:val="single"/>
    </w:rPr>
  </w:style>
  <w:style w:type="character" w:styleId="Char">
    <w:name w:val="页眉 Char"/>
    <w:qFormat/>
    <w:rPr>
      <w:kern w:val="2"/>
      <w:sz w:val="18"/>
      <w:szCs w:val="18"/>
    </w:rPr>
  </w:style>
  <w:style w:type="character" w:styleId="Char1">
    <w:name w:val="页脚 Char"/>
    <w:qFormat/>
    <w:rPr>
      <w:kern w:val="2"/>
      <w:sz w:val="18"/>
      <w:szCs w:val="18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tyle12">
    <w:name w:val="文档结构图"/>
    <w:basedOn w:val="Normal"/>
    <w:qFormat/>
    <w:pPr>
      <w:shd w:fill="000080" w:val="clear"/>
    </w:pPr>
    <w:rPr/>
  </w:style>
  <w:style w:type="paragraph" w:styleId="TOC1">
    <w:name w:val="toc 1"/>
    <w:basedOn w:val="Normal"/>
    <w:next w:val="Normal"/>
    <w:pPr>
      <w:tabs>
        <w:tab w:val="clear" w:pos="420"/>
        <w:tab w:val="right" w:pos="8296" w:leader="dot"/>
      </w:tabs>
      <w:spacing w:before="120" w:after="120"/>
      <w:jc w:val="start"/>
    </w:pPr>
    <w:rPr>
      <w:b/>
      <w:bCs/>
      <w:caps/>
      <w:lang w:val="zh-CN" w:eastAsia="zh-CN"/>
    </w:rPr>
  </w:style>
  <w:style w:type="paragraph" w:styleId="Style13">
    <w:name w:val="表格首行"/>
    <w:basedOn w:val="Normal"/>
    <w:qFormat/>
    <w:pPr>
      <w:spacing w:lineRule="auto" w:line="360"/>
      <w:jc w:val="center"/>
    </w:pPr>
    <w:rPr>
      <w:rFonts w:ascii="宋体;SimSun" w:hAnsi="宋体;SimSun"/>
      <w:b/>
      <w:kern w:val="0"/>
      <w:sz w:val="24"/>
    </w:rPr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2009-09-06T20:44:00Z</dcterms:created>
  <dc:creator>于俊</dc:creator>
  <dc:description/>
  <cp:keywords/>
  <dc:language>zh-CN</dc:language>
  <cp:lastModifiedBy>user</cp:lastModifiedBy>
  <dcterms:modified xsi:type="dcterms:W3CDTF">2021-09-27T14:57:00Z</dcterms:modified>
  <cp:revision>46</cp:revision>
  <dc:subject/>
  <dc:title>测试计划（GB8567——88）</dc:title>
</cp:coreProperties>
</file>