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Lines/>
        <w:snapToGrid w:val="false"/>
      </w:pPr>
      <w:r>
        <w:rPr>
          <w:b w:val="0"/>
        </w:rPr>
        <w:br/>
        <w:br/>
      </w:r>
    </w:p>
    <w:p>
      <w:pPr>
        <w:pStyle w:val="Title"/>
        <w:jc w:val="center"/>
        <w:snapToGrid w:val="false"/>
      </w:pPr>
      <w:r>
        <w:t>实时双语字幕插件</w:t>
      </w:r>
    </w:p>
    <w:p>
      <w:pPr>
        <w:pStyle w:val="Title"/>
        <w:jc w:val="center"/>
        <w:snapToGrid w:val="false"/>
      </w:pPr>
      <w:r>
        <w:t>测试报告 模块一</w:t>
      </w:r>
    </w:p>
    <w:p>
      <w:pPr>
        <w:keepLines/>
        <w:snapToGrid w:val="false"/>
      </w:pPr>
      <w:r>
        <w:rPr>
          <w:b w:val="0"/>
        </w:rPr>
        <w:t>本报告记录实时双语字幕插件的本地确定性测试。新增38条用例全部通过，两个有效缺陷已完成修复与回归。结论适用于本轮测试范围。</w:t>
      </w:r>
    </w:p>
    <w:p>
      <w:pPr>
        <w:keepLines/>
        <w:snapToGrid w:val="false"/>
      </w:pPr>
      <w:r>
        <w:rPr>
          <w:b w:val="0"/>
        </w:rP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3402"/>
        <w:gridCol w:w="1984"/>
      </w:tblGrid>
      <w:tr>
        <w:trPr>
          <w:cantSplit/>
          <w:tblHeader/>
        </w:trPr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作者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2026-09-11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模块一工作分册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待填写</w:t>
            </w:r>
          </w:p>
        </w:tc>
      </w:tr>
    </w:tbl>
    <w:p>
      <w:pPr>
        <w:keepLines/>
        <w:snapToGrid w:val="false"/>
      </w:pPr>
      <w:r>
        <w:rPr>
          <w:b w:val="0"/>
        </w:rPr>
        <w:t>班级及学号：待填写</w:t>
        <w:br/>
        <w:t>小组成员：待填写</w:t>
        <w:br/>
        <w:t>贡献比例：小组合并后据实填写</w:t>
      </w:r>
    </w:p>
    <w:p>
      <w:pPr>
        <w:sectPr>
          <w:footerReference w:type="even" r:id="rId9"/>
          <w:footerReference w:type="default" r:id="rId10"/>
          <w:pgSz w:w="11906" w:h="16838"/>
          <w:pgMar w:top="1440" w:right="1800" w:bottom="1440" w:left="1800" w:header="720" w:footer="720" w:gutter="0"/>
          <w:cols w:space="425"/>
          <w:docGrid w:type="lines" w:linePitch="312"/>
        </w:sectPr>
        <w:snapToGrid w:val="false"/>
      </w:pPr>
    </w:p>
    <w:p>
      <w:pPr>
        <w:pStyle w:val="1"/>
        <w:snapToGrid w:val="false"/>
      </w:pPr>
      <w:r>
        <w:t>目录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1 被测对象概述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2 测试计划与策略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3 测试用例设计</w:t>
        <w:tab/>
        <w:t>4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4 自动化测试实现</w:t>
        <w:tab/>
        <w:t>5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5 执行结果与缺陷</w:t>
        <w:tab/>
        <w:t>6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6 小组成员贡献度</w:t>
        <w:tab/>
        <w:t>7</w:t>
      </w:r>
    </w:p>
    <w:p>
      <w:pPr>
        <w:sectPr>
          <w:pgSz w:w="11906" w:h="16838"/>
          <w:pgMar w:top="1440" w:right="1800" w:bottom="1440" w:left="1800" w:header="720" w:footer="720" w:gutter="0"/>
          <w:cols w:space="425"/>
          <w:docGrid w:type="lines" w:linePitch="312"/>
        </w:sectPr>
        <w:snapToGrid w:val="false"/>
      </w:pPr>
    </w:p>
    <w:p>
      <w:pPr>
        <w:pStyle w:val="1"/>
        <w:snapToGrid w:val="false"/>
      </w:pPr>
      <w:r>
        <w:t>1 被测对象概述</w:t>
      </w:r>
    </w:p>
    <w:p>
      <w:pPr>
        <w:keepLines/>
        <w:snapToGrid w:val="false"/>
      </w:pPr>
      <w:r>
        <w:rPr>
          <w:b w:val="0"/>
        </w:rPr>
        <w:t>被测对象为 Real-time-translation-plugin，版本0.1.0。插件捕获浏览器音频，经本地网关识别和翻译，再以双语字幕浮层显示。项目包含共享协议、Node.js网关、Chrome扩展及Safari宿主。本轮选择共享逻辑、客户端缓存、fake网关和Chrome交互。</w:t>
      </w:r>
    </w:p>
    <w:p>
      <w:pPr>
        <w:keepLines/>
        <w:snapToGrid w:val="false"/>
      </w:pPr>
      <w:r>
        <w:rPr>
          <w:b w:val="0"/>
        </w:rPr>
        <w:t>主要被测文件规模：protocol.ts 182行、subtitles.ts 48行、downsample.ts 40行、realtime-client.ts 144行、server.ts 236行、content.ts 184行。行数含空行和注释。</w:t>
      </w:r>
    </w:p>
    <w:p>
      <w:pPr>
        <w:pStyle w:val="1"/>
        <w:snapToGrid w:val="false"/>
      </w:pPr>
      <w:r>
        <w:t>2 测试计划与策略</w:t>
      </w:r>
    </w:p>
    <w:p>
      <w:pPr>
        <w:pStyle w:val="2"/>
        <w:snapToGrid w:val="false"/>
      </w:pPr>
      <w:r>
        <w:t>2.1 测试范围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520"/>
      </w:tblGrid>
      <w:tr>
        <w:trPr>
          <w:cantSplit/>
          <w:tblHeader/>
        </w:trPr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覆盖</w:t>
            </w:r>
          </w:p>
        </w:tc>
        <w:tc>
          <w:tcPr>
            <w:tcW w:type="dxa" w:w="65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设置约束、音频帧、降采样、字幕修订、缓存、网关鉴权与停止、Chrome设置与浮层。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不覆盖</w:t>
            </w:r>
          </w:p>
        </w:tc>
        <w:tc>
          <w:tcPr>
            <w:tcW w:type="dxa" w:w="65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真实云端准确率与延迟、Safari原生宿主、真实音频捕获手动验收。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原因</w:t>
            </w:r>
          </w:p>
        </w:tc>
        <w:tc>
          <w:tcPr>
            <w:tcW w:type="dxa" w:w="65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云端模型属于外部依赖；音频捕获需要浏览器用户手势；本轮聚焦可重复的本地测试。</w:t>
            </w:r>
          </w:p>
        </w:tc>
      </w:tr>
    </w:tbl>
    <w:p>
      <w:pPr>
        <w:pStyle w:val="2"/>
        <w:snapToGrid w:val="false"/>
      </w:pPr>
      <w:r>
        <w:t>2.2 测试策略</w:t>
      </w:r>
    </w:p>
    <w:p>
      <w:pPr>
        <w:keepLines/>
        <w:snapToGrid w:val="false"/>
      </w:pPr>
      <w:r>
        <w:rPr>
          <w:b w:val="0"/>
        </w:rPr>
        <w:t>等价类用于有效与无效配置、错误协议输入；边界值针对字号14–48、透明度0–1、语言数1–10和50帧缓存；场景法覆盖临时转最终、重连和会话停止。通过阅读状态分支选择断言，但不以用例数量替代代码覆盖率。</w:t>
      </w:r>
    </w:p>
    <w:p>
      <w:pPr>
        <w:pStyle w:val="2"/>
        <w:snapToGrid w:val="false"/>
      </w:pPr>
      <w:r>
        <w:t>2.3 测试环境</w:t>
      </w:r>
    </w:p>
    <w:p>
      <w:pPr>
        <w:keepLines/>
        <w:snapToGrid w:val="false"/>
      </w:pPr>
      <w:r>
        <w:rPr>
          <w:b w:val="0"/>
        </w:rPr>
        <w:t>macOS（Darwin 25.4.0），Apple M5，16 GiB内存，arm64。Node.js v24.18.0，npm 11.16.0；Vitest 3.2.7，Playwright 1.62.1。网关绑定127.0.0.1随机端口；不使用云端密钥。依赖版本以package-lock.json为准。</w:t>
      </w:r>
    </w:p>
    <w:p>
      <w:pPr>
        <w:pStyle w:val="1"/>
        <w:pageBreakBefore/>
        <w:snapToGrid w:val="false"/>
      </w:pPr>
      <w:r>
        <w:t>3 测试用例设计</w:t>
      </w:r>
    </w:p>
    <w:p>
      <w:pPr>
        <w:pStyle w:val="2"/>
        <w:snapToGrid w:val="false"/>
      </w:pPr>
      <w:r>
        <w:t>3.1 用例总览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984"/>
        <w:gridCol w:w="1701"/>
      </w:tblGrid>
      <w:tr>
        <w:trPr>
          <w:cantSplit/>
          <w:tblHeader/>
        </w:trPr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自动化数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边界值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44.7%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等价类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10.5%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场景法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44.7%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38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100%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38</w:t>
            </w:r>
          </w:p>
        </w:tc>
      </w:tr>
    </w:tbl>
    <w:p>
      <w:pPr>
        <w:pStyle w:val="2"/>
        <w:snapToGrid w:val="false"/>
      </w:pPr>
      <w:r>
        <w:t>3.2 典型用例分析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3685"/>
        <w:gridCol w:w="3175"/>
      </w:tblGrid>
      <w:tr>
        <w:trPr>
          <w:cantSplit/>
          <w:tblHeader/>
        </w:trPr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输入和预期</w:t>
            </w:r>
          </w:p>
        </w:tc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设计依据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M1-002</w:t>
            </w:r>
          </w:p>
        </w:tc>
        <w:tc>
          <w:tcPr>
            <w:tcW w:type="dxa" w:w="368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字号14应通过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取合法范围下界，配合13拒绝检查闭区间。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M1-009</w:t>
            </w:r>
          </w:p>
        </w:tc>
        <w:tc>
          <w:tcPr>
            <w:tcW w:type="dxa" w:w="368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重复en-US应拒绝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重复语言属于无效等价类。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M1-020</w:t>
            </w:r>
          </w:p>
        </w:tc>
        <w:tc>
          <w:tcPr>
            <w:tcW w:type="dxa" w:w="368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分两批输入，输出[1,0]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跨调用累计权重不应丢失。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M1-025</w:t>
            </w:r>
          </w:p>
        </w:tc>
        <w:tc>
          <w:tcPr>
            <w:tcW w:type="dxa" w:w="368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final rev2后interim rev3，临时为空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最终状态不应回退；修复前失败。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M1-027</w:t>
            </w:r>
          </w:p>
        </w:tc>
        <w:tc>
          <w:tcPr>
            <w:tcW w:type="dxa" w:w="368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51帧只保留1–50并提示缺失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50/51帧是两秒容量的相邻边界。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M1-032</w:t>
            </w:r>
          </w:p>
        </w:tc>
        <w:tc>
          <w:tcPr>
            <w:tcW w:type="dxa" w:w="368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握手、发PCM、结束，会话正常关闭</w:t>
            </w:r>
          </w:p>
        </w:tc>
        <w:tc>
          <w:tcPr>
            <w:tcW w:type="dxa" w:w="317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本地服务完整成功路径。</w:t>
            </w:r>
          </w:p>
        </w:tc>
      </w:tr>
    </w:tbl>
    <w:p>
      <w:pPr>
        <w:pStyle w:val="2"/>
        <w:snapToGrid w:val="false"/>
      </w:pPr>
      <w:r>
        <w:t>3.3 用例分布</w:t>
      </w:r>
    </w:p>
    <w:p>
      <w:pPr>
        <w:keepLines/>
        <w:snapToGrid w:val="false"/>
      </w:pPr>
      <w:r>
        <w:rPr>
          <w:b w:val="0"/>
        </w:rPr>
        <w:t>需求与用例数量：设置校验14条；音频处理7条；字幕状态4条；客户端缓存3条；网关会话5条；Chrome 交互5条。详细输入、步骤及预期见Excel；编号直接关联自动化名称。</w:t>
      </w:r>
    </w:p>
    <w:p>
      <w:pPr>
        <w:pStyle w:val="1"/>
        <w:pageBreakBefore/>
        <w:snapToGrid w:val="false"/>
      </w:pPr>
      <w:r>
        <w:t>4 自动化测试实现</w:t>
      </w:r>
    </w:p>
    <w:p>
      <w:pPr>
        <w:pStyle w:val="2"/>
        <w:snapToGrid w:val="false"/>
      </w:pPr>
      <w:r>
        <w:t>4.1 测试框架与架构</w:t>
      </w:r>
    </w:p>
    <w:p>
      <w:pPr>
        <w:keepLines/>
        <w:snapToGrid w:val="false"/>
      </w:pPr>
      <w:r>
        <w:rPr>
          <w:b w:val="0"/>
        </w:rPr>
        <w:t>tests/module1/core.test.ts含28条用例，gateway.test.ts含5条集成用例，browser.spec.ts含5条浏览器用例。run.mjs负责编排、退出码和JSON汇总。原有测试保持独立。</w:t>
      </w:r>
    </w:p>
    <w:p>
      <w:pPr>
        <w:keepLines/>
        <w:snapToGrid w:val="false"/>
      </w:pPr>
      <w:r>
        <w:rPr>
          <w:b w:val="0"/>
        </w:rPr>
        <w:t>一键命令：npm run test:module1。执行顺序为Vitest、Chrome构建、Playwright。任意失败或未执行均返回非零。完整回归命令为npm run test:regression。</w:t>
      </w:r>
    </w:p>
    <w:p>
      <w:pPr>
        <w:pStyle w:val="2"/>
        <w:snapToGrid w:val="false"/>
      </w:pPr>
      <w:r>
        <w:t>4.2 关键实现说明</w:t>
      </w:r>
    </w:p>
    <w:p>
      <w:pPr>
        <w:keepLines/>
        <w:snapToGrid w:val="false"/>
      </w:pPr>
      <w:r>
        <w:rPr>
          <w:b w:val="0"/>
        </w:rPr>
        <w:t>客户端用EventTarget模拟WebSocket，固定帧长为40ms；网关采用真实本地HTTP/WebSocket加fake provider。设置页加载真实MV3扩展；浮层执行构建后的content.js，仅替代消息接口并保留ShadowRoot引用以便断言。</w:t>
      </w:r>
    </w:p>
    <w:p>
      <w:pPr>
        <w:keepLines/>
        <w:snapToGrid w:val="false"/>
      </w:pPr>
      <w:r>
        <w:rPr>
          <w:b w:val="0"/>
        </w:rPr>
        <w:t>以下代码展示缓存边界断言。输入51帧，预期只保留最新50帧并报告audio_gap：</w:t>
      </w:r>
    </w:p>
    <w:p>
      <w:pPr>
        <w:keepLines/>
        <w:snapToGrid w:val="false"/>
      </w:pPr>
      <w:r>
        <w:rPr>
          <w:rFonts w:ascii="Courier New" w:hAnsi="Courier New"/>
          <w:b w:val="0"/>
          <w:sz w:val="18"/>
        </w:rPr>
        <w:t>const { client, socket, messages } = clientFixture();</w:t>
        <w:br/>
        <w:t>for (let i = 0; i &lt; 51; i++) client.push(frame(i));</w:t>
        <w:br/>
        <w:t>ready(socket);</w:t>
        <w:br/>
        <w:t>expect(binary(socket).map(f =&gt; f.sequence)).toEqual(</w:t>
        <w:br/>
        <w:t xml:space="preserve">  Array.from({ length: 50 }, (_, i) =&gt; i + 1)</w:t>
        <w:br/>
        <w:t>);</w:t>
        <w:br/>
        <w:t>expect(messages.some(m =&gt; m.code === 'audio_gap'))</w:t>
        <w:br/>
        <w:t xml:space="preserve">  .toBe(true);</w:t>
        <w:br/>
        <w:t>client.close();</w:t>
      </w:r>
    </w:p>
    <w:p>
      <w:pPr>
        <w:keepLines/>
        <w:snapToGrid w:val="false"/>
      </w:pPr>
      <w:r>
        <w:rPr>
          <w:b w:val="0"/>
        </w:rPr>
        <w:t>浏览器每条用例通过settings:set重置配置，同时更新后台缓存和磁盘存储。只清空storage.local会留下后台内存值，是测试隔离问题，未计为产品缺陷。网关与socket在清理钩子关闭，避免端口和定时器泄漏。</w:t>
      </w:r>
    </w:p>
    <w:p>
      <w:pPr>
        <w:keepLines/>
        <w:snapToGrid w:val="false"/>
      </w:pPr>
      <w:r>
        <w:rPr>
          <w:b w:val="0"/>
        </w:rPr>
        <w:t>original-sources.json保存修复前最小快照。reproduce.mjs在临时副本还原原版并执行失败用例，结束即清理；不改当前工程。详细命令见执行说明。</w:t>
      </w:r>
    </w:p>
    <w:p>
      <w:pPr>
        <w:pStyle w:val="1"/>
        <w:pageBreakBefore/>
        <w:snapToGrid w:val="false"/>
      </w:pPr>
      <w:r>
        <w:t>5 执行结果与缺陷</w:t>
      </w:r>
    </w:p>
    <w:p>
      <w:pPr>
        <w:pStyle w:val="2"/>
        <w:snapToGrid w:val="false"/>
      </w:pPr>
      <w:r>
        <w:t>5.1 执行结果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1814"/>
        <w:gridCol w:w="1871"/>
      </w:tblGrid>
      <w:tr>
        <w:trPr>
          <w:cantSplit/>
          <w:tblHeader/>
        </w:trPr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本轮模块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总数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原版失败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修复后通过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设置校验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音频处理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字幕状态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客户端缓存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网关会话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Chrome 交互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141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38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38</w:t>
            </w:r>
          </w:p>
        </w:tc>
      </w:tr>
    </w:tbl>
    <w:p>
      <w:pPr>
        <w:keepLines/>
        <w:snapToGrid w:val="false"/>
      </w:pPr>
      <w:r>
        <w:rPr>
          <w:b w:val="0"/>
        </w:rPr>
        <w:t>原版35/38通过，通过率92.1%；修复后38/38通过，通过率100%，无跳过。原有单元测试36/36通过；原有浏览器测试3通过、1跳过，真实音频捕获未计入通过。类型检查及相关构建均通过。</w:t>
      </w:r>
    </w:p>
    <w:p>
      <w:pPr>
        <w:pStyle w:val="2"/>
        <w:snapToGrid w:val="false"/>
      </w:pPr>
      <w:r>
        <w:t>5.2 缺陷摘要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4649"/>
        <w:gridCol w:w="1701"/>
      </w:tblGrid>
      <w:tr>
        <w:trPr>
          <w:cantSplit/>
          <w:tblHeader/>
        </w:trPr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缺陷</w:t>
            </w:r>
          </w:p>
        </w:tc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表现与影响</w:t>
            </w:r>
          </w:p>
        </w:tc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BUG-M1-001</w:t>
            </w:r>
          </w:p>
        </w:tc>
        <w:tc>
          <w:tcPr>
            <w:tcW w:type="dxa" w:w="464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中等：最终字幕被后到临时字幕重复显示，影响阅读。M1-025与M1-037发现。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已修复并回归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BUG-M1-002</w:t>
            </w:r>
          </w:p>
        </w:tc>
        <w:tc>
          <w:tcPr>
            <w:tcW w:type="dxa" w:w="464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低：缓存多保留40ms音频，超过两秒上限。M1-027发现。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已修复并回归</w:t>
            </w:r>
          </w:p>
        </w:tc>
      </w:tr>
    </w:tbl>
    <w:p>
      <w:pPr>
        <w:pStyle w:val="2"/>
        <w:snapToGrid w:val="false"/>
      </w:pPr>
      <w:r>
        <w:t>5.3 典型缺陷根因分析</w:t>
      </w:r>
    </w:p>
    <w:p>
      <w:pPr>
        <w:keepLines/>
        <w:snapToGrid w:val="false"/>
      </w:pPr>
      <w:r>
        <w:rPr>
          <w:b w:val="0"/>
        </w:rPr>
        <w:t>缺陷001只按修订号去旧，没有约束最终状态。共享逻辑和浮层各有一份实现，两处均补入同代次同片段的最终状态保护。缺陷002用首尾帧结束时间之差计算时长，遗漏第一帧40ms；修复时补计帧长。原版隔离复现仍产生两条预期失败，修复版通过。</w:t>
      </w:r>
    </w:p>
    <w:p>
      <w:pPr>
        <w:pStyle w:val="2"/>
        <w:snapToGrid w:val="false"/>
      </w:pPr>
      <w:r>
        <w:t>5.4 质量评估结论</w:t>
      </w:r>
    </w:p>
    <w:p>
      <w:pPr>
        <w:keepLines/>
        <w:snapToGrid w:val="false"/>
      </w:pPr>
      <w:r>
        <w:rPr>
          <w:b w:val="0"/>
        </w:rPr>
        <w:t>本轮验证范围满足验收，未发现修复引入的回归。该结论不等于整个插件可发布：真实音频捕获、云端识别效果和Safari宿主尚未验收，未测项不作为通过证据。</w:t>
      </w:r>
    </w:p>
    <w:p>
      <w:pPr>
        <w:pStyle w:val="1"/>
        <w:pageBreakBefore/>
        <w:snapToGrid w:val="false"/>
      </w:pPr>
      <w:r>
        <w:t>6 小组成员贡献度</w:t>
      </w:r>
    </w:p>
    <w:p>
      <w:pPr>
        <w:keepLines/>
        <w:snapToGrid w:val="false"/>
      </w:pPr>
      <w:r>
        <w:rPr>
          <w:b w:val="0"/>
        </w:rPr>
        <w:t>本分册记录本轮实际产物。姓名、学号及百分比留待小组整合双方成果后填写，最终比例合计应为100%。原有测试不计为本次新增工作。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4535"/>
        <w:gridCol w:w="1701"/>
      </w:tblGrid>
      <w:tr>
        <w:trPr>
          <w:cantSplit/>
          <w:tblHeader/>
        </w:trPr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实际工作记录</w:t>
            </w:r>
          </w:p>
        </w:tc>
        <w:tc>
          <w:tcPr>
            <w:tcW w:type="dxa" w:w="27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贡献比例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本轮负责人</w:t>
              <w:br/>
              <w:t>姓名学号待填写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新增38条用例，测试及配置TS文件共188行（含空行注释）；确认2个独立缺陷并修复；形成Excel、Word和PPT。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待填写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另一位成员</w:t>
              <w:br/>
              <w:t>姓名学号待填写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由本人补充实际工作与独立提交记录。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待填写</w:t>
            </w:r>
          </w:p>
        </w:tc>
      </w:tr>
    </w:tbl>
    <w:p>
      <w:pPr>
        <w:keepLines/>
        <w:snapToGrid w:val="false"/>
      </w:pPr>
      <w:r>
        <w:rPr>
          <w:b w:val="0"/>
        </w:rPr>
        <w:t>本轮使用AI辅助分析、编写测试、修复及文档整理。没有代写成员身份或提交历史。小组应根据课程要求确认材料用途与署名。</w:t>
      </w:r>
    </w:p>
    <w:p>
      <w:pPr>
        <w:pStyle w:val="2"/>
        <w:snapToGrid w:val="false"/>
      </w:pPr>
      <w:r>
        <w:t>执行证据索引</w:t>
      </w:r>
    </w:p>
    <w:p>
      <w:pPr>
        <w:keepLines/>
        <w:snapToGrid w:val="false"/>
      </w:pPr>
      <w:r>
        <w:rPr>
          <w:b w:val="0"/>
        </w:rPr>
        <w:t>evidence/before-unit.json：原版33条测试，2失败。</w:t>
        <w:br/>
        <w:t>evidence/before-browser：原版浏览器结果及失败截图。</w:t>
        <w:br/>
        <w:t>evidence/after/summary.json：本轮最终38条逐项结果。</w:t>
        <w:br/>
        <w:t>evidence/regression.log：原有回归与构建。</w:t>
        <w:br/>
        <w:t>evidence/reproduce.log：原版隔离复现。</w:t>
        <w:br/>
        <w:t>evidence/fixes.patch：产品源码最小修复。</w:t>
      </w:r>
    </w:p>
    <w:p>
      <w:pPr>
        <w:keepLines/>
        <w:snapToGrid w:val="false"/>
      </w:pPr>
      <w:r>
        <w:rPr>
          <w:b w:val="0"/>
        </w:rPr>
        <w:t>基线提交：fcfbd2227c341d15472e86d0e4d192077cec15b5。归档时间：2026-09-11T01:15:10.684Z（UTC）。源码存在本轮未提交变更，以归档文件SHA-256与补丁识别修复版本。</w:t>
      </w:r>
    </w:p>
    <w:sectPr w:rsidR="0098147B" w:rsidRPr="00963858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jc w:val="center"/>
      <w:rPr>
        <w:rStyle w:val="a5"/>
      </w:rPr>
    </w:pPr>
    <w:fldSimple w:instr="PAGE"/>
    <w:r>
      <w:t xml:space="preserve"> / </w:t>
    </w:r>
    <w:fldSimple w:instr="NUMPAGES"/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 w:after="120"/>
      <w:ind w:firstLine="0"/>
      <w:jc w:val="both"/>
    </w:pPr>
    <w:rPr>
      <w:rFonts w:ascii="Times New Roman" w:hAnsi="Times New Roman" w:eastAsia="宋体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60" w:after="120" w:line="560" w:lineRule="exact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160" w:after="120" w:line="420" w:lineRule="exact"/>
      <w:outlineLvl w:val="1"/>
    </w:pPr>
    <w:rPr>
      <w:rFonts w:ascii="Arial" w:eastAsia="黑体" w:hAnsi="Arial"/>
      <w:b/>
      <w:bCs/>
      <w:color w:val="000000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160" w:after="120" w:line="420" w:lineRule="exact"/>
      <w:outlineLvl w:val="2"/>
    </w:pPr>
    <w:rPr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spacing w:after="360"/>
    </w:pPr>
    <w:rPr>
      <w:rFonts w:ascii="黑体" w:hAnsi="黑体" w:eastAsia="黑体"/>
      <w:b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测试报告_模块一</dc:title>
  <dc:subject/>
  <dc:creator/>
  <cp:keywords/>
  <dc:description/>
  <cp:lastModifiedBy/>
  <cp:revision>25</cp:revision>
  <dcterms:created xsi:type="dcterms:W3CDTF">2019-03-10T14:14:00Z</dcterms:created>
  <dcterms:modified xsi:type="dcterms:W3CDTF">2026-09-07T03:09:00Z</dcterms:modified>
</cp:coreProperties>
</file>