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keepLines/>
        <w:snapToGrid w:val="false"/>
      </w:pPr>
      <w:r>
        <w:rPr>
          <w:b w:val="0"/>
        </w:rPr>
        <w:br/>
        <w:br/>
      </w:r>
    </w:p>
    <w:p>
      <w:pPr>
        <w:pStyle w:val="Title"/>
        <w:jc w:val="center"/>
        <w:snapToGrid w:val="false"/>
      </w:pPr>
      <w:r>
        <w:t>实时双语字幕插件</w:t>
      </w:r>
    </w:p>
    <w:p>
      <w:pPr>
        <w:pStyle w:val="Title"/>
        <w:jc w:val="center"/>
        <w:snapToGrid w:val="false"/>
      </w:pPr>
      <w:r>
        <w:t>测试缺陷报告</w:t>
      </w:r>
    </w:p>
    <w:p>
      <w:pPr>
        <w:keepLines/>
        <w:snapToGrid w:val="false"/>
      </w:pPr>
      <w:r>
        <w:rPr>
          <w:b w:val="0"/>
        </w:rPr>
        <w:t>本报告记录两个经自动化复现的独立缺陷，列出输入、操作、实际现象、根因和修复验证。三个失败用例对应两个缺陷，不重复计数。</w:t>
      </w:r>
    </w:p>
    <w:p>
      <w:pPr>
        <w:keepLines/>
        <w:snapToGrid w:val="false"/>
      </w:pPr>
      <w:r>
        <w:rPr>
          <w:b w:val="0"/>
        </w:rPr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134"/>
        <w:gridCol w:w="3402"/>
        <w:gridCol w:w="1984"/>
      </w:tblGrid>
      <w:tr>
        <w:trPr>
          <w:cantSplit/>
          <w:tblHeader/>
        </w:trPr>
        <w:tc>
          <w:tcPr>
            <w:tcW w:type="dxa" w:w="207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/>
                <w:sz w:val="21"/>
              </w:rPr>
              <w:t>日期</w:t>
            </w:r>
          </w:p>
        </w:tc>
        <w:tc>
          <w:tcPr>
            <w:tcW w:type="dxa" w:w="207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/>
                <w:sz w:val="21"/>
              </w:rPr>
              <w:t>版本</w:t>
            </w:r>
          </w:p>
        </w:tc>
        <w:tc>
          <w:tcPr>
            <w:tcW w:type="dxa" w:w="207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/>
                <w:sz w:val="21"/>
              </w:rPr>
              <w:t>说明</w:t>
            </w:r>
          </w:p>
        </w:tc>
        <w:tc>
          <w:tcPr>
            <w:tcW w:type="dxa" w:w="207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/>
                <w:sz w:val="21"/>
              </w:rPr>
              <w:t>作者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2026-09-11</w:t>
            </w:r>
          </w:p>
        </w:tc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1.0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模块一工作分册</w:t>
            </w:r>
          </w:p>
        </w:tc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待填写</w:t>
            </w:r>
          </w:p>
        </w:tc>
      </w:tr>
    </w:tbl>
    <w:p>
      <w:pPr>
        <w:keepLines/>
        <w:snapToGrid w:val="false"/>
      </w:pPr>
      <w:r>
        <w:rPr>
          <w:b w:val="0"/>
        </w:rPr>
        <w:t>班级及学号：待填写</w:t>
        <w:br/>
        <w:t>小组成员：待填写</w:t>
        <w:br/>
        <w:t>贡献比例：小组合并后据实填写</w:t>
      </w:r>
    </w:p>
    <w:p>
      <w:pPr>
        <w:sectPr>
          <w:headerReference w:type="default" r:id="rId8"/>
          <w:headerReference w:type="first" r:id="rId9"/>
          <w:footerReference w:type="default" r:id="rId10"/>
          <w:footerReference w:type="first" r:id="rId11"/>
          <w:type w:val="nextPage"/>
          <w:pgSz w:w="11906" w:h="16838"/>
          <w:pgMar w:left="1800" w:right="1800" w:gutter="0" w:header="720" w:top="1440" w:footer="720" w:bottom="1440"/>
          <w:pgNumType w:fmt="decimal"/>
          <w:formProt w:val="false"/>
          <w:textDirection w:val="lrTb"/>
          <w:docGrid w:type="lines" w:linePitch="312" w:charSpace="0"/>
        </w:sectPr>
        <w:snapToGrid w:val="false"/>
      </w:pPr>
    </w:p>
    <w:p>
      <w:pPr>
        <w:pStyle w:val="Heading1"/>
        <w:snapToGrid w:val="false"/>
      </w:pPr>
      <w:r>
        <w:t>目录</w:t>
      </w:r>
    </w:p>
    <w:p>
      <w:pPr>
        <w:keepLines/>
        <w:tabs>
          <w:tab w:pos="7937" w:val="right"/>
        </w:tabs>
        <w:snapToGrid w:val="false"/>
      </w:pPr>
      <w:r>
        <w:rPr>
          <w:b w:val="0"/>
        </w:rPr>
        <w:t>1 引言</w:t>
        <w:tab/>
        <w:t>3</w:t>
      </w:r>
    </w:p>
    <w:p>
      <w:pPr>
        <w:keepLines/>
        <w:tabs>
          <w:tab w:pos="7937" w:val="right"/>
        </w:tabs>
        <w:snapToGrid w:val="false"/>
      </w:pPr>
      <w:r>
        <w:rPr>
          <w:b w:val="0"/>
        </w:rPr>
        <w:t>2 测试环境</w:t>
        <w:tab/>
        <w:t>3</w:t>
      </w:r>
    </w:p>
    <w:p>
      <w:pPr>
        <w:keepLines/>
        <w:tabs>
          <w:tab w:pos="7937" w:val="right"/>
        </w:tabs>
        <w:snapToGrid w:val="false"/>
      </w:pPr>
      <w:r>
        <w:rPr>
          <w:b w:val="0"/>
        </w:rPr>
        <w:t>3 模块一功能与边界测试</w:t>
        <w:tab/>
        <w:t>3</w:t>
      </w:r>
    </w:p>
    <w:p>
      <w:pPr>
        <w:keepLines/>
        <w:tabs>
          <w:tab w:pos="7937" w:val="right"/>
        </w:tabs>
        <w:snapToGrid w:val="false"/>
      </w:pPr>
      <w:r>
        <w:rPr>
          <w:b w:val="0"/>
        </w:rPr>
        <w:t>3.4.1 最终字幕重复显示</w:t>
        <w:tab/>
        <w:t>4</w:t>
      </w:r>
    </w:p>
    <w:p>
      <w:pPr>
        <w:keepLines/>
        <w:tabs>
          <w:tab w:pos="7937" w:val="right"/>
        </w:tabs>
        <w:snapToGrid w:val="false"/>
      </w:pPr>
      <w:r>
        <w:rPr>
          <w:b w:val="0"/>
        </w:rPr>
        <w:t>3.4.2 音频缓存超过两秒</w:t>
        <w:tab/>
        <w:t>5</w:t>
      </w:r>
    </w:p>
    <w:p>
      <w:pPr>
        <w:keepLines/>
        <w:tabs>
          <w:tab w:pos="7937" w:val="right"/>
        </w:tabs>
        <w:snapToGrid w:val="false"/>
      </w:pPr>
      <w:r>
        <w:rPr>
          <w:b w:val="0"/>
        </w:rPr>
        <w:t>3.5 结果分析和结论</w:t>
        <w:tab/>
        <w:t>6</w:t>
      </w:r>
    </w:p>
    <w:p>
      <w:pPr>
        <w:sectPr>
          <w:pgSz w:w="11906" w:h="16838"/>
          <w:pgMar w:left="1800" w:right="1800" w:gutter="0" w:header="720" w:top="1440" w:footer="720" w:bottom="1440"/>
          <w:pgNumType w:fmt="decimal"/>
          <w:formProt w:val="false"/>
          <w:textDirection w:val="lrTb"/>
          <w:docGrid w:type="lines" w:linePitch="312" w:charSpace="0"/>
        </w:sectPr>
        <w:snapToGrid w:val="false"/>
      </w:pPr>
    </w:p>
    <w:p>
      <w:pPr>
        <w:pStyle w:val="Heading1"/>
        <w:snapToGrid w:val="false"/>
      </w:pPr>
      <w:r>
        <w:t>1 引言</w:t>
      </w:r>
    </w:p>
    <w:p>
      <w:pPr>
        <w:pStyle w:val="Heading2"/>
        <w:snapToGrid w:val="false"/>
      </w:pPr>
      <w:r>
        <w:t>1.1 编写目的</w:t>
      </w:r>
    </w:p>
    <w:p>
      <w:pPr>
        <w:keepLines/>
        <w:snapToGrid w:val="false"/>
      </w:pPr>
      <w:r>
        <w:rPr>
          <w:b w:val="0"/>
        </w:rPr>
        <w:t>供课程小组、测试复核者与开发维护者复现缺陷并确认修复。缺陷状态以自动化证据为准。</w:t>
      </w:r>
    </w:p>
    <w:p>
      <w:pPr>
        <w:pStyle w:val="Heading2"/>
        <w:snapToGrid w:val="false"/>
      </w:pPr>
      <w:r>
        <w:t>1.2 背景</w:t>
      </w:r>
    </w:p>
    <w:p>
      <w:pPr>
        <w:keepLines/>
        <w:snapToGrid w:val="false"/>
      </w:pPr>
      <w:r>
        <w:rPr>
          <w:b w:val="0"/>
        </w:rPr>
        <w:t>被测软件为实时双语字幕插件0.1.0，采用TypeScript、Chrome MV3与Node.js网关。本轮测试本地协议、字幕状态及缓存边界。</w:t>
      </w:r>
    </w:p>
    <w:p>
      <w:pPr>
        <w:pStyle w:val="Heading2"/>
        <w:snapToGrid w:val="false"/>
      </w:pPr>
      <w:r>
        <w:t>1.3 定义</w:t>
      </w:r>
    </w:p>
    <w:p>
      <w:pPr>
        <w:keepLines/>
        <w:snapToGrid w:val="false"/>
      </w:pPr>
      <w:r>
        <w:rPr>
          <w:b w:val="0"/>
        </w:rPr>
        <w:t>revision为片段修订号；generation为连接代次；interim为临时字幕；final为最终字幕；PCM帧长40ms。</w:t>
      </w:r>
    </w:p>
    <w:p>
      <w:pPr>
        <w:pStyle w:val="Heading2"/>
        <w:snapToGrid w:val="false"/>
      </w:pPr>
      <w:r>
        <w:t>1.4 参考资料</w:t>
      </w:r>
    </w:p>
    <w:p>
      <w:pPr>
        <w:keepLines/>
        <w:snapToGrid w:val="false"/>
      </w:pPr>
      <w:r>
        <w:rPr>
          <w:b w:val="0"/>
        </w:rPr>
        <w:t>项目README的“设计要点”和“弱网重连”描述；共享字幕合并、content.ts及realtime-client.ts源码；模块一用例清单与执行日志。</w:t>
      </w:r>
    </w:p>
    <w:p>
      <w:pPr>
        <w:pStyle w:val="Heading1"/>
        <w:snapToGrid w:val="false"/>
      </w:pPr>
      <w:r>
        <w:t>2 测试环境</w:t>
      </w:r>
    </w:p>
    <w:p>
      <w:pPr>
        <w:pStyle w:val="Heading2"/>
        <w:snapToGrid w:val="false"/>
      </w:pPr>
      <w:r>
        <w:t>2.1 硬件环境</w:t>
      </w:r>
    </w:p>
    <w:p>
      <w:pPr>
        <w:keepLines/>
        <w:snapToGrid w:val="false"/>
      </w:pPr>
      <w:r>
        <w:rPr>
          <w:b w:val="0"/>
        </w:rPr>
        <w:t>Apple M5，16 GiB内存，arm64。</w:t>
      </w:r>
    </w:p>
    <w:p>
      <w:pPr>
        <w:pStyle w:val="Heading2"/>
        <w:snapToGrid w:val="false"/>
      </w:pPr>
      <w:r>
        <w:t>2.2 软件环境</w:t>
      </w:r>
    </w:p>
    <w:p>
      <w:pPr>
        <w:keepLines/>
        <w:snapToGrid w:val="false"/>
      </w:pPr>
      <w:r>
        <w:rPr>
          <w:b w:val="0"/>
        </w:rPr>
        <w:t>Darwin 25.4.0，Node v24.18.0，npm 11.16.0，Vitest 3.2.7，Playwright 1.62.1。仅使用本地fake或Mock依赖。</w:t>
      </w:r>
    </w:p>
    <w:p>
      <w:pPr>
        <w:pStyle w:val="Heading1"/>
        <w:snapToGrid w:val="false"/>
      </w:pPr>
      <w:r>
        <w:t>3 模块一功能与边界测试</w:t>
      </w:r>
    </w:p>
    <w:p>
      <w:pPr>
        <w:pStyle w:val="Heading2"/>
        <w:snapToGrid w:val="false"/>
      </w:pPr>
      <w:r>
        <w:t>3.1 被测软件</w:t>
      </w:r>
    </w:p>
    <w:p>
      <w:pPr>
        <w:keepLines/>
        <w:snapToGrid w:val="false"/>
      </w:pPr>
      <w:r>
        <w:rPr>
          <w:b w:val="0"/>
        </w:rPr>
        <w:t>源码位于source_code/Real-time-translation-plugin-main；基线及原始文件哈希见evidence/baseline-version.json。</w:t>
      </w:r>
    </w:p>
    <w:p>
      <w:pPr>
        <w:pStyle w:val="Heading2"/>
        <w:snapToGrid w:val="false"/>
      </w:pPr>
      <w:r>
        <w:t>3.2 测试策略</w:t>
      </w:r>
    </w:p>
    <w:p>
      <w:pPr>
        <w:keepLines/>
        <w:snapToGrid w:val="false"/>
      </w:pPr>
      <w:r>
        <w:rPr>
          <w:b w:val="0"/>
        </w:rPr>
        <w:t>以状态变化场景和相邻容量边界复现，先保留失败，再修改产品源码，最后运行原有与新增用例。</w:t>
      </w:r>
    </w:p>
    <w:p>
      <w:pPr>
        <w:pStyle w:val="Heading2"/>
        <w:snapToGrid w:val="false"/>
      </w:pPr>
      <w:r>
        <w:t>3.3 执行步骤</w:t>
      </w:r>
    </w:p>
    <w:p>
      <w:pPr>
        <w:keepLines/>
        <w:snapToGrid w:val="false"/>
      </w:pPr>
      <w:r>
        <w:rPr>
          <w:b w:val="0"/>
        </w:rPr>
        <w:t>安装依赖与Chromium；执行本轮测试保留原版记录；修复两处字幕实现与缓存时长计算；执行完整回归。详见自动化测试执行说明。</w:t>
      </w:r>
    </w:p>
    <w:p>
      <w:pPr>
        <w:pStyle w:val="Heading1"/>
        <w:pageBreakBefore/>
        <w:snapToGrid w:val="false"/>
      </w:pPr>
      <w:r>
        <w:t>3.4 缺陷表</w:t>
      </w:r>
    </w:p>
    <w:p>
      <w:pPr>
        <w:pStyle w:val="Heading2"/>
        <w:snapToGrid w:val="false"/>
      </w:pPr>
      <w:r>
        <w:t>3.4.1 最终字幕重复显示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6236"/>
      </w:tblGrid>
      <w:tr>
        <w:trPr>
          <w:cantSplit/>
          <w:tblHeader/>
        </w:trPr>
        <w:tc>
          <w:tcPr>
            <w:tcW w:type="dxa" w:w="415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type="dxa" w:w="415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/>
                <w:sz w:val="21"/>
              </w:rPr>
              <w:t>记录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缺陷编号与标题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BUG-M1-001 同一最终片段被后到临时结果再次显示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测试人及时间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AI辅助执行；成员署名待填写；2026-09-11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功能模块及编号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字幕状态与Chrome浮层；M1-025、M1-037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测试需求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README：最终结果固定，临时结果原位修订。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严重程度与优先级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严重程度中；优先级中；状态已修复并回归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前置条件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空字幕状态；同一session、generation=0、segmentId=s1。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复现步骤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1. 发送final=true、revision=2、文本hello 2。</w:t>
              <w:br/>
              <w:t>2. 发送同片段final=false、revision=3、文本hello 3。</w:t>
              <w:br/>
              <w:t>3. 检查状态及浏览器浮层。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预期结果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只保留最终片段hello 2；interim为空。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实际结果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原版状态保留final rev2，又设置interim rev3；浏览器同时显示hello 2与hello 3及其译文。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根因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仅检查revision是否递增，没有阻止已最终确认的当前片段回到临时状态。content.ts内重复实现也存在同样问题。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解决方案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共享合并函数和浮层合并函数同时增加保护：同generation、同segmentId已有final时忽略后到interim；保留新代次重置行为。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修复验证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M1-025单元与M1-037浏览器回归通过；M1-024验证新代次仍可接收rev0。原版隔离重跑M1-025仍失败。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解决者与关闭者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AI辅助修复与执行验证；人工复核者待填写。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附件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before-unit.json；before-browser中M1-037/failure.png；after/summary.json；fixes.patch。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相关缺陷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无；两个失败用例属于同一缺陷。</w:t>
            </w:r>
          </w:p>
        </w:tc>
      </w:tr>
    </w:tbl>
    <w:p>
      <w:pPr>
        <w:pStyle w:val="Heading2"/>
        <w:pageBreakBefore/>
        <w:snapToGrid w:val="false"/>
      </w:pPr>
      <w:r>
        <w:t>3.4.2 音频缓存超过两秒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6236"/>
      </w:tblGrid>
      <w:tr>
        <w:trPr>
          <w:cantSplit/>
          <w:tblHeader/>
        </w:trPr>
        <w:tc>
          <w:tcPr>
            <w:tcW w:type="dxa" w:w="415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type="dxa" w:w="415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/>
                <w:sz w:val="21"/>
              </w:rPr>
              <w:t>记录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缺陷编号与标题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BUG-M1-002 两秒PCM缓存多保留一帧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测试人及时间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AI辅助执行；成员署名待填写；2026-09-11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功能模块及编号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RealtimeClient.buffer；M1-027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测试需求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README：弱网重连最多缓存最近2秒PCM；超出范围提示字幕可能缺失。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严重程度与优先级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严重程度低；优先级中；状态已修复并回归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前置条件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客户端已连接但尚未ready，使用MockSocket；每帧1280字节，40ms。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复现步骤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1. 连续push序号0至50的51帧。</w:t>
              <w:br/>
              <w:t>2. audioEndMs依次为40、80直至2040。</w:t>
              <w:br/>
              <w:t>3. 派发ready，检查发出的二进制帧及audio_gap。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预期结果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发出序号1至50共50帧，总时长2000ms；报告audio_gap。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实际结果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原版发出序号0至50共51帧，总时长2040ms，未淘汰最旧帧。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根因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用最新与最旧帧结束时间之差判断容量，2040−40=2000，没有计入第一帧覆盖的40ms。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解决方案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缓存跨度补加PCM_FORMAT.frameDurationMs，超过2000ms即淘汰旧帧；沿用缺失提示机制。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修复验证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M1-026：50帧全部保留且无缺失提示。M1-027：51帧只保留后50帧并提示。原版隔离重跑M1-027仍失败。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解决者与关闭者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AI辅助修复与执行验证；人工复核者待填写。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附件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before-unit.json；reproduce.log；after/summary.json；fixes.patch。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相关缺陷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无。</w:t>
            </w:r>
          </w:p>
        </w:tc>
      </w:tr>
    </w:tbl>
    <w:p>
      <w:pPr>
        <w:pStyle w:val="Heading1"/>
        <w:pageBreakBefore/>
        <w:snapToGrid w:val="false"/>
      </w:pPr>
      <w:r>
        <w:t>3.5 结果分析和结论</w:t>
      </w:r>
    </w:p>
    <w:p>
      <w:pPr>
        <w:keepLines/>
        <w:snapToGrid w:val="false"/>
      </w:pPr>
      <w:r>
        <w:rPr>
          <w:b w:val="0"/>
        </w:rPr>
        <w:t>缺陷分布为字幕显示1个、缓存边界1个。均通过新增自动化测试发现，其中字幕缺陷另有浏览器可见证据。两项均已修复并执行回归；人工复核人尚未填写。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5953"/>
      </w:tblGrid>
      <w:tr>
        <w:trPr>
          <w:cantSplit/>
          <w:tblHeader/>
        </w:trPr>
        <w:tc>
          <w:tcPr>
            <w:tcW w:type="dxa" w:w="415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/>
                <w:sz w:val="21"/>
              </w:rPr>
              <w:t>检查项</w:t>
            </w:r>
          </w:p>
        </w:tc>
        <w:tc>
          <w:tcPr>
            <w:tcW w:type="dxa" w:w="415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/>
                <w:sz w:val="21"/>
              </w:rPr>
              <w:t>结果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原版新增测试</w:t>
            </w:r>
          </w:p>
        </w:tc>
        <w:tc>
          <w:tcPr>
            <w:tcW w:type="dxa" w:w="595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38条中35通过、3失败，涉及2个独立缺陷。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修复后新增测试</w:t>
            </w:r>
          </w:p>
        </w:tc>
        <w:tc>
          <w:tcPr>
            <w:tcW w:type="dxa" w:w="595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38通过、0失败、0跳过。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原有回归</w:t>
            </w:r>
          </w:p>
        </w:tc>
        <w:tc>
          <w:tcPr>
            <w:tcW w:type="dxa" w:w="595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36条单元通过；3条浏览器通过；1条真实音频捕获按原设置跳过。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构建与类型检查</w:t>
            </w:r>
          </w:p>
        </w:tc>
        <w:tc>
          <w:tcPr>
            <w:tcW w:type="dxa" w:w="595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产品及新增测试类型检查通过；Chrome、网关与Safari资源构建通过。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未验收范围</w:t>
            </w:r>
          </w:p>
        </w:tc>
        <w:tc>
          <w:tcPr>
            <w:tcW w:type="dxa" w:w="595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真实音频捕获、云端识别效果及延迟、Safari宿主构建签名。</w:t>
            </w:r>
          </w:p>
        </w:tc>
      </w:tr>
    </w:tbl>
    <w:p>
      <w:pPr>
        <w:keepLines/>
        <w:snapToGrid w:val="false"/>
      </w:pPr>
      <w:r>
        <w:rPr>
          <w:b w:val="0"/>
        </w:rPr>
        <w:t>修复验证依据见after/summary.json和regression.log；归档修复版本以fixed-source-hashes.json识别。禁止把“未执行”或“跳过”解释为通过。</w:t>
      </w:r>
    </w:p>
    <w:p>
      <w:pPr>
        <w:keepLines/>
        <w:snapToGrid w:val="false"/>
      </w:pPr>
      <w:r>
        <w:rPr>
          <w:b w:val="0"/>
        </w:rPr>
        <w:t>原版复现命令：npm run test:module1:reproduce。该命令使用原始文件快照，预期产生2条失败断言并返回非零。当前修复版运行npm run test:module1应全部通过。</w:t>
      </w:r>
    </w:p>
    <w:sectPr>
      <w:pgSz w:w="11906" w:h="16838"/>
      <w:pgMar w:left="1800" w:right="1800" w:gutter="0" w:header="720" w:top="1440" w:footer="72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宋体">
    <w:altName w:val="SimSun"/>
    <w:charset w:val="86"/>
    <w:family w:val="auto"/>
    <w:pitch w:val="variable"/>
  </w:font>
  <w:font w:name="黑体">
    <w:altName w:val="SimHei"/>
    <w:charset w:val="86"/>
    <w:family w:val="modern"/>
    <w:pitch w:val="default"/>
  </w:font>
  <w:font w:name="等线">
    <w:altName w:val="DengXian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  <w:sz w:val="24"/>
        <w:szCs w:val="24"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b/>
        <w:sz w:val="24"/>
        <w:szCs w:val="24"/>
      </w:rPr>
      <w:t>2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</w:t>
    </w:r>
    <w:r>
      <w:rPr>
        <w:lang w:val="zh-CN"/>
      </w:rPr>
      <w:t xml:space="preserve">/ </w:t>
    </w:r>
    <w:r>
      <w:rPr>
        <w:b/>
        <w:sz w:val="24"/>
        <w:szCs w:val="24"/>
      </w:rPr>
      <w:fldChar w:fldCharType="begin"/>
    </w:r>
    <w:r>
      <w:rPr>
        <w:b/>
        <w:sz w:val="24"/>
        <w:szCs w:val="24"/>
      </w:rPr>
      <w:instrText xml:space="preserve"> NUMPAGES \* ARABIC </w:instrText>
    </w:r>
    <w:r>
      <w:rPr>
        <w:b/>
        <w:sz w:val="24"/>
        <w:szCs w:val="24"/>
      </w:rPr>
      <w:fldChar w:fldCharType="separate"/>
    </w:r>
    <w:r>
      <w:rPr>
        <w:b/>
        <w:sz w:val="24"/>
        <w:szCs w:val="24"/>
      </w:rPr>
      <w:t>7</w:t>
    </w:r>
    <w:r>
      <w:rPr>
        <w:b/>
        <w:sz w:val="24"/>
        <w:szCs w:val="24"/>
      </w:rPr>
      <w:fldChar w:fldCharType="end"/>
    </w:r>
  </w:p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  <w:sz w:val="24"/>
        <w:szCs w:val="24"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b/>
        <w:sz w:val="24"/>
        <w:szCs w:val="24"/>
      </w:rPr>
      <w:t>3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</w:t>
    </w:r>
    <w:r>
      <w:rPr>
        <w:lang w:val="zh-CN"/>
      </w:rPr>
      <w:t xml:space="preserve">/ </w:t>
    </w:r>
    <w:r>
      <w:rPr>
        <w:b/>
        <w:sz w:val="24"/>
        <w:szCs w:val="24"/>
      </w:rPr>
      <w:fldChar w:fldCharType="begin"/>
    </w:r>
    <w:r>
      <w:rPr>
        <w:b/>
        <w:sz w:val="24"/>
        <w:szCs w:val="24"/>
      </w:rPr>
      <w:instrText xml:space="preserve"> NUMPAGES \* ARABIC </w:instrText>
    </w:r>
    <w:r>
      <w:rPr>
        <w:b/>
        <w:sz w:val="24"/>
        <w:szCs w:val="24"/>
      </w:rPr>
      <w:fldChar w:fldCharType="separate"/>
    </w:r>
    <w:r>
      <w:rPr>
        <w:b/>
        <w:sz w:val="24"/>
        <w:szCs w:val="24"/>
      </w:rPr>
      <w:t>7</w:t>
    </w:r>
    <w:r>
      <w:rPr>
        <w:b/>
        <w:sz w:val="24"/>
        <w:szCs w:val="24"/>
      </w:rPr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fldSimple w:instr="PAGE"/>
    <w:r>
      <w:t xml:space="preserve"> / </w:t>
    </w:r>
    <w:fldSimple w:instr="NUMPAGES"/>
  </w:p>
  <w:p>
    <w:pPr>
      <w:pStyle w:val="Footer"/>
      <w:rPr/>
    </w:pP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hint="eastAsia"/>
      </w:rPr>
      <w:t>武剑洁</w:t>
    </w:r>
    <w:r>
      <w:rPr/>
      <w:tab/>
    </w:r>
    <w:r>
      <w:rPr>
        <w:rFonts w:hint="eastAsia"/>
      </w:rPr>
      <w:t>软件测试与质量保证实践</w:t>
    </w:r>
    <w:r>
      <w:rPr/>
      <w:tab/>
    </w:r>
    <w:r>
      <w:rPr>
        <w:rFonts w:hint="eastAsia"/>
      </w:rPr>
      <w:t>华中科技大学软件学院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hint="eastAsia"/>
      </w:rPr>
      <w:t>武剑洁</w:t>
    </w:r>
    <w:r>
      <w:rPr/>
      <w:tab/>
    </w:r>
    <w:r>
      <w:rPr>
        <w:rFonts w:hint="eastAsia"/>
      </w:rPr>
      <w:t>软件测试与质量保证实践</w:t>
    </w:r>
    <w:r>
      <w:rPr/>
      <w:tab/>
    </w:r>
    <w:r>
      <w:rPr>
        <w:rFonts w:hint="eastAsia"/>
      </w:rPr>
      <w:t>华中科技大学软件学院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hint="eastAsia"/>
      </w:rPr>
      <w:t>武剑洁</w:t>
    </w:r>
    <w:r>
      <w:rPr/>
      <w:tab/>
    </w:r>
    <w:r>
      <w:rPr>
        <w:rFonts w:hint="eastAsia"/>
      </w:rPr>
      <w:t>软件测试与质量保证实践</w:t>
    </w:r>
    <w:r>
      <w:rPr/>
      <w:tab/>
    </w:r>
    <w:r>
      <w:rPr>
        <w:rFonts w:hint="eastAsia"/>
      </w:rPr>
      <w:t>华中科技大学软件学院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840"/>
        </w:tabs>
        <w:ind w:start="840" w:hanging="42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  <w:updateFields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="320" w:lineRule="exact" w:after="120"/>
      <w:ind w:firstLine="0"/>
      <w:jc w:val="both"/>
    </w:pPr>
    <w:rPr>
      <w:rFonts w:ascii="Times New Roman" w:hAnsi="Times New Roman" w:eastAsia="宋体" w:cs="Times New Roman"/>
      <w:color w:val="000000"/>
      <w:kern w:val="2"/>
      <w:sz w:val="21"/>
      <w:szCs w:val="24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lineRule="exact" w:line="560" w:before="160" w:after="120"/>
      <w:outlineLvl w:val="0"/>
    </w:pPr>
    <w:rPr>
      <w:b/>
      <w:bCs/>
      <w:color w:val="000000"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/>
      <w:keepLines/>
      <w:numPr>
        <w:ilvl w:val="1"/>
        <w:numId w:val="1"/>
      </w:numPr>
      <w:spacing w:lineRule="exact" w:line="420" w:before="160" w:after="120"/>
      <w:outlineLvl w:val="1"/>
    </w:pPr>
    <w:rPr>
      <w:rFonts w:ascii="Arial" w:hAnsi="Arial" w:eastAsia="黑体;SimHei" w:cs="Arial"/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numPr>
        <w:ilvl w:val="2"/>
        <w:numId w:val="1"/>
      </w:numPr>
      <w:spacing w:lineRule="exact" w:line="420" w:before="160" w:after="120"/>
      <w:outlineLvl w:val="2"/>
    </w:pPr>
    <w:rPr>
      <w:b/>
      <w:bCs/>
      <w:color w:val="000000"/>
      <w:sz w:val="32"/>
      <w:szCs w:val="32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Wingdings" w:hAnsi="Wingdings" w:cs="Wingdings"/>
    </w:rPr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>
      <w:rFonts w:ascii="Wingdings" w:hAnsi="Wingdings" w:cs="Wingdings"/>
    </w:rPr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>
      <w:rFonts w:hint="eastAsia"/>
    </w:rPr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>
      <w:rFonts w:hint="eastAsia"/>
    </w:rPr>
  </w:style>
  <w:style w:type="character" w:styleId="WW8Num23z0">
    <w:name w:val="WW8Num23z0"/>
    <w:qFormat/>
    <w:rPr/>
  </w:style>
  <w:style w:type="character" w:styleId="WW8Num24z0">
    <w:name w:val="WW8Num24z0"/>
    <w:qFormat/>
    <w:rPr>
      <w:rFonts w:ascii="Wingdings" w:hAnsi="Wingdings" w:cs="Wingdings"/>
    </w:rPr>
  </w:style>
  <w:style w:type="character" w:styleId="WW8Num25z0">
    <w:name w:val="WW8Num25z0"/>
    <w:qFormat/>
    <w:rPr>
      <w:rFonts w:ascii="Wingdings" w:hAnsi="Wingdings" w:cs="Wingdings"/>
    </w:rPr>
  </w:style>
  <w:style w:type="character" w:styleId="WW8Num26z0">
    <w:name w:val="WW8Num26z0"/>
    <w:qFormat/>
    <w:rPr>
      <w:rFonts w:ascii="Wingdings" w:hAnsi="Wingdings" w:cs="Wingdings"/>
    </w:rPr>
  </w:style>
  <w:style w:type="character" w:styleId="WW8Num27z0">
    <w:name w:val="WW8Num27z0"/>
    <w:qFormat/>
    <w:rPr/>
  </w:style>
  <w:style w:type="character" w:styleId="WW8Num28z0">
    <w:name w:val="WW8Num28z0"/>
    <w:qFormat/>
    <w:rPr/>
  </w:style>
  <w:style w:type="character" w:styleId="WW8Num29z0">
    <w:name w:val="WW8Num29z0"/>
    <w:qFormat/>
    <w:rPr>
      <w:rFonts w:hint="eastAsia"/>
    </w:rPr>
  </w:style>
  <w:style w:type="character" w:styleId="WW8Num30z0">
    <w:name w:val="WW8Num30z0"/>
    <w:qFormat/>
    <w:rPr/>
  </w:style>
  <w:style w:type="character" w:styleId="WW8Num31z0">
    <w:name w:val="WW8Num31z0"/>
    <w:qFormat/>
    <w:rPr>
      <w:rFonts w:ascii="Wingdings" w:hAnsi="Wingdings" w:cs="Wingdings"/>
    </w:rPr>
  </w:style>
  <w:style w:type="character" w:styleId="WW8Num32z0">
    <w:name w:val="WW8Num32z0"/>
    <w:qFormat/>
    <w:rPr/>
  </w:style>
  <w:style w:type="character" w:styleId="WW8Num33z0">
    <w:name w:val="WW8Num33z0"/>
    <w:qFormat/>
    <w:rPr>
      <w:rFonts w:ascii="Wingdings" w:hAnsi="Wingdings" w:cs="Wingdings"/>
    </w:rPr>
  </w:style>
  <w:style w:type="character" w:styleId="WW8Num34z0">
    <w:name w:val="WW8Num34z0"/>
    <w:qFormat/>
    <w:rPr/>
  </w:style>
  <w:style w:type="character" w:styleId="WW8Num35z0">
    <w:name w:val="WW8Num35z0"/>
    <w:qFormat/>
    <w:rPr/>
  </w:style>
  <w:style w:type="character" w:styleId="WW8Num36z0">
    <w:name w:val="WW8Num36z0"/>
    <w:qFormat/>
    <w:rPr>
      <w:rFonts w:hint="eastAsia"/>
    </w:rPr>
  </w:style>
  <w:style w:type="character" w:styleId="WW8Num37z0">
    <w:name w:val="WW8Num37z0"/>
    <w:qFormat/>
    <w:rPr>
      <w:rFonts w:hint="eastAsia"/>
    </w:rPr>
  </w:style>
  <w:style w:type="character" w:styleId="WW8Num38z0">
    <w:name w:val="WW8Num38z0"/>
    <w:qFormat/>
    <w:rPr/>
  </w:style>
  <w:style w:type="character" w:styleId="WW8Num39z0">
    <w:name w:val="WW8Num39z0"/>
    <w:qFormat/>
    <w:rPr/>
  </w:style>
  <w:style w:type="character" w:styleId="WW8Num40z0">
    <w:name w:val="WW8Num40z0"/>
    <w:qFormat/>
    <w:rPr/>
  </w:style>
  <w:style w:type="character" w:styleId="WW8Num41z0">
    <w:name w:val="WW8Num41z0"/>
    <w:qFormat/>
    <w:rPr>
      <w:rFonts w:ascii="Wingdings" w:hAnsi="Wingdings" w:cs="Wingdings"/>
    </w:rPr>
  </w:style>
  <w:style w:type="character" w:styleId="WW8Num42z0">
    <w:name w:val="WW8Num42z0"/>
    <w:qFormat/>
    <w:rPr>
      <w:rFonts w:hint="eastAsia"/>
    </w:rPr>
  </w:style>
  <w:style w:type="character" w:styleId="WW8Num43z0">
    <w:name w:val="WW8Num43z0"/>
    <w:qFormat/>
    <w:rPr>
      <w:rFonts w:hint="eastAsia"/>
    </w:rPr>
  </w:style>
  <w:style w:type="character" w:styleId="Style11">
    <w:name w:val="默认段落字体"/>
    <w:qFormat/>
    <w:rPr/>
  </w:style>
  <w:style w:type="character" w:styleId="Hyperlink">
    <w:name w:val="Hyperlink"/>
    <w:rPr>
      <w:color w:val="0000FF"/>
      <w:u w:val="single"/>
    </w:rPr>
  </w:style>
  <w:style w:type="character" w:styleId="Char">
    <w:name w:val="页眉 Char"/>
    <w:qFormat/>
    <w:rPr>
      <w:kern w:val="2"/>
      <w:sz w:val="18"/>
      <w:szCs w:val="18"/>
    </w:rPr>
  </w:style>
  <w:style w:type="character" w:styleId="Char1">
    <w:name w:val="页脚 Char"/>
    <w:qFormat/>
    <w:rPr>
      <w:kern w:val="2"/>
      <w:sz w:val="18"/>
      <w:szCs w:val="18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Style12">
    <w:name w:val="文档结构图"/>
    <w:basedOn w:val="Normal"/>
    <w:qFormat/>
    <w:pPr>
      <w:shd w:fill="000080" w:val="clear"/>
    </w:pPr>
    <w:rPr/>
  </w:style>
  <w:style w:type="paragraph" w:styleId="TOC1">
    <w:name w:val="toc 1"/>
    <w:basedOn w:val="Normal"/>
    <w:next w:val="Normal"/>
    <w:pPr>
      <w:tabs>
        <w:tab w:val="clear" w:pos="420"/>
        <w:tab w:val="right" w:pos="8296" w:leader="dot"/>
      </w:tabs>
      <w:spacing w:before="120" w:after="120"/>
      <w:jc w:val="start"/>
    </w:pPr>
    <w:rPr>
      <w:b/>
      <w:bCs/>
      <w:caps/>
      <w:lang w:val="zh-CN" w:eastAsia="zh-CN"/>
    </w:rPr>
  </w:style>
  <w:style w:type="paragraph" w:styleId="Style13">
    <w:name w:val="表格首行"/>
    <w:basedOn w:val="Normal"/>
    <w:qFormat/>
    <w:pPr>
      <w:spacing w:lineRule="auto" w:line="360"/>
      <w:jc w:val="center"/>
    </w:pPr>
    <w:rPr>
      <w:rFonts w:ascii="宋体;SimSun" w:hAnsi="宋体;SimSun"/>
      <w:b/>
      <w:kern w:val="0"/>
      <w:sz w:val="24"/>
    </w:rPr>
  </w:style>
  <w:style w:type="paragraph" w:styleId="TOC2">
    <w:name w:val="toc 2"/>
    <w:basedOn w:val="Normal"/>
    <w:next w:val="Normal"/>
    <w:pPr>
      <w:ind w:firstLineChars="0" w:firstLine="0" w:startChars="200" w:endChars="0" w:end="0"/>
    </w:pPr>
    <w:rPr/>
  </w:style>
  <w:style w:type="paragraph" w:styleId="TOC3">
    <w:name w:val="toc 3"/>
    <w:basedOn w:val="Normal"/>
    <w:next w:val="Normal"/>
    <w:pPr>
      <w:ind w:firstLineChars="0" w:firstLine="0" w:startChars="400" w:endChars="0" w:end="0"/>
    </w:pPr>
    <w:rPr/>
  </w:style>
  <w:style w:type="paragraph" w:styleId="Style14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paragraph" w:customStyle="1" w:styleId="Title">
    <w:name w:val="Title"/>
    <w:pPr>
      <w:spacing w:after="360"/>
    </w:pPr>
    <w:rPr>
      <w:rFonts w:ascii="黑体" w:hAnsi="黑体" w:eastAsia="黑体"/>
      <w:b/>
      <w:color w:val="000000"/>
      <w:sz w:val="5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2009-09-06T20:44:00Z</dcterms:created>
  <dc:creator/>
  <dc:description/>
  <cp:keywords/>
  <dc:language>zh-CN</dc:language>
  <cp:lastModifiedBy/>
  <dcterms:modified xsi:type="dcterms:W3CDTF">2021-09-27T14:57:00Z</dcterms:modified>
  <cp:revision>46</cp:revision>
  <dc:subject/>
  <dc:title>缺陷清单</dc:title>
</cp:coreProperties>
</file>