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E605FF">
      <w:pPr>
        <w:keepLines/>
        <w:snapToGrid w:val="0"/>
      </w:pPr>
      <w:r>
        <w:rPr>
          <w:b w:val="0"/>
        </w:rPr>
        <w:br w:type="textWrapping"/>
      </w:r>
      <w:r>
        <w:rPr>
          <w:b w:val="0"/>
        </w:rPr>
        <w:br w:type="textWrapping"/>
      </w:r>
    </w:p>
    <w:p w14:paraId="14C3A59A">
      <w:pPr>
        <w:pStyle w:val="23"/>
        <w:snapToGrid w:val="0"/>
        <w:jc w:val="center"/>
      </w:pPr>
      <w:r>
        <w:t>实时双语字幕插件</w:t>
      </w:r>
    </w:p>
    <w:p w14:paraId="164F1FE4">
      <w:pPr>
        <w:pStyle w:val="23"/>
        <w:snapToGrid w:val="0"/>
        <w:jc w:val="center"/>
      </w:pPr>
      <w:r>
        <w:t>自动化测试执行说明</w:t>
      </w:r>
    </w:p>
    <w:p w14:paraId="2B0BBD57">
      <w:pPr>
        <w:keepLines/>
        <w:snapToGrid w:val="0"/>
      </w:pPr>
      <w:r>
        <w:rPr>
          <w:b w:val="0"/>
        </w:rPr>
        <w:t>本说明给出实时双语字幕插件62条测试用例的运行方式、4项缺陷的复现入口和浏览器演示步骤。自动化采用Vitest与Playwright，安装依赖和Chromium后即可执行。</w:t>
      </w:r>
    </w:p>
    <w:p w14:paraId="614E99C9">
      <w:pPr>
        <w:keepLines/>
        <w:snapToGrid w:val="0"/>
      </w:pPr>
      <w:r>
        <w:rPr>
          <w:b w:val="0"/>
        </w:rPr>
        <w:br w:type="textWrapping"/>
      </w:r>
    </w:p>
    <w:tbl>
      <w:tblPr>
        <w:tblStyle w:val="10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134"/>
        <w:gridCol w:w="3402"/>
        <w:gridCol w:w="1984"/>
      </w:tblGrid>
      <w:tr w14:paraId="06B136ED">
        <w:trPr>
          <w:cantSplit/>
          <w:tblHeader/>
        </w:trPr>
        <w:tc>
          <w:tcPr>
            <w:tcW w:w="207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D6011B5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日期</w:t>
            </w:r>
          </w:p>
        </w:tc>
        <w:tc>
          <w:tcPr>
            <w:tcW w:w="207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0D8558E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版本</w:t>
            </w:r>
          </w:p>
        </w:tc>
        <w:tc>
          <w:tcPr>
            <w:tcW w:w="207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22BE4BCE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说明</w:t>
            </w:r>
          </w:p>
        </w:tc>
        <w:tc>
          <w:tcPr>
            <w:tcW w:w="207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6C1D0E0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作者</w:t>
            </w:r>
          </w:p>
        </w:tc>
      </w:tr>
      <w:tr w14:paraId="4A9400E9">
        <w:trPr>
          <w:cantSplit/>
        </w:trPr>
        <w:tc>
          <w:tcPr>
            <w:tcW w:w="1701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60CF0587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2026-09-13</w:t>
            </w:r>
          </w:p>
        </w:tc>
        <w:tc>
          <w:tcPr>
            <w:tcW w:w="113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B2572E1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2.0</w:t>
            </w:r>
          </w:p>
        </w:tc>
        <w:tc>
          <w:tcPr>
            <w:tcW w:w="340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459378C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模块一测试成果</w:t>
            </w:r>
          </w:p>
        </w:tc>
        <w:tc>
          <w:tcPr>
            <w:tcW w:w="1984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0F3D56F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白宇、李承远</w:t>
            </w:r>
          </w:p>
        </w:tc>
      </w:tr>
    </w:tbl>
    <w:p w14:paraId="18E83574">
      <w:pPr>
        <w:keepLines/>
        <w:snapToGrid w:val="0"/>
      </w:pPr>
      <w:r>
        <w:rPr>
          <w:b w:val="0"/>
        </w:rPr>
        <w:t>小组成员：白宇、李承远</w:t>
      </w:r>
      <w:bookmarkStart w:id="0" w:name="_GoBack"/>
      <w:bookmarkEnd w:id="0"/>
    </w:p>
    <w:p w14:paraId="2DB80849">
      <w:pPr>
        <w:snapToGrid w:val="0"/>
        <w:sectPr>
          <w:footerReference r:id="rId5" w:type="default"/>
          <w:footerReference r:id="rId6" w:type="even"/>
          <w:pgSz w:w="11906" w:h="16838"/>
          <w:pgMar w:top="1440" w:right="1800" w:bottom="1440" w:left="1800" w:header="720" w:footer="720" w:gutter="0"/>
          <w:cols w:space="425" w:num="1"/>
          <w:docGrid w:type="lines" w:linePitch="312" w:charSpace="0"/>
        </w:sectPr>
      </w:pPr>
    </w:p>
    <w:p w14:paraId="14A463CF">
      <w:pPr>
        <w:pStyle w:val="2"/>
        <w:snapToGrid w:val="0"/>
      </w:pPr>
      <w:r>
        <w:t>目录</w:t>
      </w:r>
    </w:p>
    <w:p w14:paraId="746F0BC2">
      <w:pPr>
        <w:keepLines/>
        <w:tabs>
          <w:tab w:val="right" w:pos="7937"/>
        </w:tabs>
        <w:snapToGrid w:val="0"/>
      </w:pPr>
      <w:r>
        <w:rPr>
          <w:b w:val="0"/>
        </w:rPr>
        <w:t>1 环境准备</w:t>
      </w:r>
      <w:r>
        <w:rPr>
          <w:b w:val="0"/>
        </w:rPr>
        <w:tab/>
      </w:r>
      <w:r>
        <w:rPr>
          <w:b w:val="0"/>
        </w:rPr>
        <w:t>3</w:t>
      </w:r>
    </w:p>
    <w:p w14:paraId="350D8266">
      <w:pPr>
        <w:keepLines/>
        <w:tabs>
          <w:tab w:val="right" w:pos="7937"/>
        </w:tabs>
        <w:snapToGrid w:val="0"/>
      </w:pPr>
      <w:r>
        <w:rPr>
          <w:b w:val="0"/>
        </w:rPr>
        <w:t>2 自动化执行与结果</w:t>
      </w:r>
      <w:r>
        <w:rPr>
          <w:b w:val="0"/>
        </w:rPr>
        <w:tab/>
      </w:r>
      <w:r>
        <w:rPr>
          <w:b w:val="0"/>
        </w:rPr>
        <w:t>3</w:t>
      </w:r>
    </w:p>
    <w:p w14:paraId="65B36858">
      <w:pPr>
        <w:keepLines/>
        <w:tabs>
          <w:tab w:val="right" w:pos="7937"/>
        </w:tabs>
        <w:snapToGrid w:val="0"/>
      </w:pPr>
      <w:r>
        <w:rPr>
          <w:b w:val="0"/>
        </w:rPr>
        <w:t>3 缺陷复现与回归</w:t>
      </w:r>
      <w:r>
        <w:rPr>
          <w:b w:val="0"/>
        </w:rPr>
        <w:tab/>
      </w:r>
      <w:r>
        <w:rPr>
          <w:b w:val="0"/>
        </w:rPr>
        <w:t>4</w:t>
      </w:r>
    </w:p>
    <w:p w14:paraId="7DDBE9A9">
      <w:pPr>
        <w:keepLines/>
        <w:tabs>
          <w:tab w:val="right" w:pos="7937"/>
        </w:tabs>
        <w:snapToGrid w:val="0"/>
      </w:pPr>
      <w:r>
        <w:rPr>
          <w:b w:val="0"/>
        </w:rPr>
        <w:t>4 浏览器功能演示</w:t>
      </w:r>
      <w:r>
        <w:rPr>
          <w:b w:val="0"/>
        </w:rPr>
        <w:tab/>
      </w:r>
      <w:r>
        <w:rPr>
          <w:b w:val="0"/>
        </w:rPr>
        <w:t>5</w:t>
      </w:r>
    </w:p>
    <w:p w14:paraId="4B6ABEE6">
      <w:pPr>
        <w:keepLines/>
        <w:tabs>
          <w:tab w:val="right" w:pos="7937"/>
        </w:tabs>
        <w:snapToGrid w:val="0"/>
      </w:pPr>
      <w:r>
        <w:rPr>
          <w:b w:val="0"/>
        </w:rPr>
        <w:t>5 常见问题</w:t>
      </w:r>
      <w:r>
        <w:rPr>
          <w:b w:val="0"/>
        </w:rPr>
        <w:tab/>
      </w:r>
      <w:r>
        <w:rPr>
          <w:b w:val="0"/>
        </w:rPr>
        <w:t>6</w:t>
      </w:r>
    </w:p>
    <w:p w14:paraId="204EBBA6">
      <w:pPr>
        <w:snapToGrid w:val="0"/>
        <w:sectPr>
          <w:pgSz w:w="11906" w:h="16838"/>
          <w:pgMar w:top="1440" w:right="1800" w:bottom="1440" w:left="1800" w:header="720" w:footer="720" w:gutter="0"/>
          <w:cols w:space="425" w:num="1"/>
          <w:docGrid w:type="lines" w:linePitch="312" w:charSpace="0"/>
        </w:sectPr>
      </w:pPr>
    </w:p>
    <w:p w14:paraId="2441ECAE">
      <w:pPr>
        <w:pStyle w:val="2"/>
        <w:pageBreakBefore w:val="0"/>
      </w:pPr>
      <w:r>
        <w:t>1 环境准备</w:t>
      </w:r>
    </w:p>
    <w:p w14:paraId="47F1AE5A">
      <w:pPr>
        <w:spacing w:after="120"/>
      </w:pPr>
      <w:r>
        <w:t>需要Node.js 24+、npm 11+，首次安装需要网络。在作业仓库中执行：</w:t>
      </w:r>
    </w:p>
    <w:p w14:paraId="3442ACD3">
      <w:pPr>
        <w:spacing w:after="120"/>
      </w:pPr>
      <w:r>
        <w:t>cd source_code/Real-time-translation-plugin-main</w:t>
      </w:r>
      <w:r>
        <w:br w:type="textWrapping"/>
      </w:r>
      <w:r>
        <w:t>npm ci</w:t>
      </w:r>
      <w:r>
        <w:br w:type="textWrapping"/>
      </w:r>
      <w:r>
        <w:t>npx playwright install chromium</w:t>
      </w:r>
    </w:p>
    <w:p w14:paraId="032AB29D">
      <w:pPr>
        <w:spacing w:after="120"/>
      </w:pPr>
      <w:r>
        <w:t>macOS、Windows或Linux终端均可运行npm命令。Linux浏览器系统库缺失时按Playwright提示安装。网关测试需允许本机端口监听。</w:t>
      </w:r>
    </w:p>
    <w:p w14:paraId="0D09B889">
      <w:pPr>
        <w:pStyle w:val="2"/>
        <w:pageBreakBefore w:val="0"/>
      </w:pPr>
      <w:r>
        <w:t>2 自动化执行与结果</w:t>
      </w:r>
    </w:p>
    <w:p w14:paraId="68CDD587">
      <w:pPr>
        <w:pStyle w:val="3"/>
        <w:pageBreakBefore w:val="0"/>
      </w:pPr>
      <w:r>
        <w:t>2.1 全部用例</w:t>
      </w:r>
    </w:p>
    <w:p w14:paraId="6FD6F08C">
      <w:pPr>
        <w:spacing w:after="120"/>
      </w:pPr>
      <w:r>
        <w:t>npm run test:module1:all</w:t>
      </w:r>
    </w:p>
    <w:p w14:paraId="2C6BE344">
      <w:pPr>
        <w:spacing w:after="120"/>
      </w:pPr>
      <w:r>
        <w:t>执行50条Vitest和12条Playwright测试，包含必要的扩展构建。预期合计62条通过、0失败、0跳过，成功退出码为0。终端按配置显示38条和24条两个测试批次，合计作为本报告结果。</w:t>
      </w:r>
    </w:p>
    <w:p w14:paraId="2F64DB50">
      <w:pPr>
        <w:pStyle w:val="3"/>
        <w:pageBreakBefore w:val="0"/>
      </w:pPr>
      <w:r>
        <w:t>2.2 结果文件</w:t>
      </w:r>
    </w:p>
    <w:tbl>
      <w:tblPr>
        <w:tblStyle w:val="10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9"/>
        <w:gridCol w:w="4252"/>
      </w:tblGrid>
      <w:tr w14:paraId="2B096DDE">
        <w:trPr>
          <w:cantSplit/>
          <w:tblHeader/>
        </w:trPr>
        <w:tc>
          <w:tcPr>
            <w:tcW w:w="41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85C8378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文件</w:t>
            </w:r>
          </w:p>
        </w:tc>
        <w:tc>
          <w:tcPr>
            <w:tcW w:w="41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C170F74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用途</w:t>
            </w:r>
          </w:p>
        </w:tc>
      </w:tr>
      <w:tr w14:paraId="44B4ECDE">
        <w:trPr>
          <w:cantSplit/>
        </w:trPr>
        <w:tc>
          <w:tcPr>
            <w:tcW w:w="396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592C052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tests/module1/results/summary.json</w:t>
            </w:r>
          </w:p>
        </w:tc>
        <w:tc>
          <w:tcPr>
            <w:tcW w:w="42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FACE713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M1-001至M1-038的逐项执行结果。</w:t>
            </w:r>
          </w:p>
        </w:tc>
      </w:tr>
      <w:tr w14:paraId="5A77AACE">
        <w:trPr>
          <w:cantSplit/>
        </w:trPr>
        <w:tc>
          <w:tcPr>
            <w:tcW w:w="396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E3C6A90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tests/module1-lcy/results/summary.json</w:t>
            </w:r>
          </w:p>
        </w:tc>
        <w:tc>
          <w:tcPr>
            <w:tcW w:w="42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CEF0C3E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M1-039至M1-062的逐项执行结果。</w:t>
            </w:r>
          </w:p>
        </w:tc>
      </w:tr>
      <w:tr w14:paraId="2E59F67A">
        <w:trPr>
          <w:cantSplit/>
        </w:trPr>
        <w:tc>
          <w:tcPr>
            <w:tcW w:w="396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304E3E8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unit.json、browser.json</w:t>
            </w:r>
          </w:p>
        </w:tc>
        <w:tc>
          <w:tcPr>
            <w:tcW w:w="42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2DE3BAD0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Vitest与Playwright的原始结果。</w:t>
            </w:r>
          </w:p>
        </w:tc>
      </w:tr>
      <w:tr w14:paraId="697F1674">
        <w:trPr>
          <w:cantSplit/>
        </w:trPr>
        <w:tc>
          <w:tcPr>
            <w:tcW w:w="3969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9357D5B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阶段日志和browser-artifacts</w:t>
            </w:r>
          </w:p>
        </w:tc>
        <w:tc>
          <w:tcPr>
            <w:tcW w:w="4252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DD99FAD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命令输出、浏览器截图及失败trace。</w:t>
            </w:r>
          </w:p>
        </w:tc>
      </w:tr>
    </w:tbl>
    <w:p w14:paraId="56933BD3">
      <w:pPr>
        <w:spacing w:after="120"/>
      </w:pPr>
      <w:r>
        <w:t>交付目录evidence/summary.json统一汇总62条结果；run-001-038和run-039-062保存原始报告。日常运行更新源码目录的results，不覆盖交付记录。</w:t>
      </w:r>
    </w:p>
    <w:p w14:paraId="36C7D3C2">
      <w:pPr>
        <w:pStyle w:val="2"/>
        <w:pageBreakBefore/>
      </w:pPr>
      <w:r>
        <w:t>3 缺陷复现与回归</w:t>
      </w:r>
    </w:p>
    <w:p w14:paraId="432821A4">
      <w:pPr>
        <w:pStyle w:val="3"/>
        <w:pageBreakBefore w:val="0"/>
      </w:pPr>
      <w:r>
        <w:t>3.1 修复前复现</w:t>
      </w:r>
    </w:p>
    <w:p w14:paraId="4477BA18">
      <w:pPr>
        <w:spacing w:after="120"/>
      </w:pPr>
      <w:r>
        <w:t>以下命令在源码工程根目录执行。复现脚本使用临时工程和修复前快照，预期产生失败断言并返回非零。</w:t>
      </w:r>
    </w:p>
    <w:p w14:paraId="633EDD62">
      <w:pPr>
        <w:spacing w:after="120"/>
      </w:pPr>
      <w:r>
        <w:t>npm run test:module1:reproduce -- BUG-M1-001</w:t>
      </w:r>
      <w:r>
        <w:br w:type="textWrapping"/>
      </w:r>
      <w:r>
        <w:t>npm run test:module1:reproduce -- BUG-M1-002</w:t>
      </w:r>
      <w:r>
        <w:br w:type="textWrapping"/>
      </w:r>
      <w:r>
        <w:t>npm run test:module1:lcy:reproduce</w:t>
      </w:r>
    </w:p>
    <w:p w14:paraId="648C76DD">
      <w:pPr>
        <w:spacing w:after="120"/>
      </w:pPr>
      <w:r>
        <w:t>前两条分别验证最终字幕回退与缓存超限；第三条验证浏览器关闭码和致命错误处理，目标M1-049/059/060/061预期4条失败。未选中的测试不计入定向复现结果。</w:t>
      </w:r>
    </w:p>
    <w:p w14:paraId="2A12ACF5">
      <w:pPr>
        <w:pStyle w:val="3"/>
        <w:pageBreakBefore w:val="0"/>
      </w:pPr>
      <w:r>
        <w:t>3.2 修复验证</w:t>
      </w:r>
    </w:p>
    <w:p w14:paraId="6A559E81">
      <w:pPr>
        <w:spacing w:after="120"/>
      </w:pPr>
      <w:r>
        <w:t>npm run test:module1:all</w:t>
      </w:r>
    </w:p>
    <w:p w14:paraId="67292422">
      <w:pPr>
        <w:spacing w:after="120"/>
      </w:pPr>
      <w:r>
        <w:t>检查M1-025/037、027、059/060、049/061通过，同时检查M1-024、026、062的正向行为，确认状态重置、合法缓存与可重试恢复正常。</w:t>
      </w:r>
    </w:p>
    <w:p w14:paraId="75ED3825">
      <w:pPr>
        <w:pStyle w:val="3"/>
        <w:pageBreakBefore w:val="0"/>
      </w:pPr>
      <w:r>
        <w:t>3.3 完整回归</w:t>
      </w:r>
    </w:p>
    <w:p w14:paraId="2F6C07B3">
      <w:pPr>
        <w:spacing w:after="120"/>
      </w:pPr>
      <w:r>
        <w:t>npm run test:regression:lcy</w:t>
      </w:r>
    </w:p>
    <w:p w14:paraId="7FE0CDAF">
      <w:pPr>
        <w:spacing w:after="120"/>
      </w:pPr>
      <w:r>
        <w:t>执行产品和课程测试、类型检查、Chrome与网关构建及Safari资源构建。已归档结果为课程62条、产品单元36条和产品浏览器3条通过；1条真实音频用例按原设置跳过。</w:t>
      </w:r>
    </w:p>
    <w:p w14:paraId="4DF222AD">
      <w:pPr>
        <w:pStyle w:val="3"/>
        <w:pageBreakBefore w:val="0"/>
      </w:pPr>
      <w:r>
        <w:t>3.4 记录核对</w:t>
      </w:r>
    </w:p>
    <w:p w14:paraId="47602826">
      <w:pPr>
        <w:spacing w:after="120"/>
      </w:pPr>
      <w:r>
        <w:t>evidence/regression.log保存完整回归。protocol-before和close-code-check记录协议缺陷修复阶段，protocol-reproduce保存隔离复现，源码摘要与补丁用于识别修复版本。BUG-M1-001/002的初测现象见缺陷清单，对应当前回归记录保存在run-001-038。</w:t>
      </w:r>
    </w:p>
    <w:p w14:paraId="17DA3D48">
      <w:pPr>
        <w:pStyle w:val="2"/>
        <w:pageBreakBefore/>
      </w:pPr>
      <w:r>
        <w:t>4 浏览器功能演示</w:t>
      </w:r>
    </w:p>
    <w:p w14:paraId="13A1AD84">
      <w:pPr>
        <w:spacing w:after="120"/>
      </w:pPr>
      <w:r>
        <w:t>本地fake provider接收音频后输出预设字幕，可用于展示链路与字幕交互。以下步骤供现场演示执行。</w:t>
      </w:r>
    </w:p>
    <w:p w14:paraId="25081ACE">
      <w:pPr>
        <w:pStyle w:val="3"/>
        <w:pageBreakBefore w:val="0"/>
      </w:pPr>
      <w:r>
        <w:t>4.1 构建并启动本地网关</w:t>
      </w:r>
    </w:p>
    <w:p w14:paraId="2A15057D">
      <w:pPr>
        <w:spacing w:after="120"/>
      </w:pPr>
      <w:r>
        <w:t>npm run build:chrome</w:t>
      </w:r>
      <w:r>
        <w:br w:type="textWrapping"/>
      </w:r>
      <w:r>
        <w:t>SPEECH_PROVIDER=fake GATEWAY_CLIENT_TOKEN=module1-secret npm run dev:gateway</w:t>
      </w:r>
    </w:p>
    <w:p w14:paraId="4DED38B5">
      <w:pPr>
        <w:spacing w:after="120"/>
      </w:pPr>
      <w:r>
        <w:t>上行为macOS/Linux环境变量写法。Windows PowerShell使用：</w:t>
      </w:r>
      <w:r>
        <w:br w:type="textWrapping"/>
      </w:r>
      <w:r>
        <w:t>$env:SPEECH_PROVIDER="fake"</w:t>
      </w:r>
      <w:r>
        <w:br w:type="textWrapping"/>
      </w:r>
      <w:r>
        <w:t>$env:GATEWAY_CLIENT_TOKEN="module1-secret"</w:t>
      </w:r>
      <w:r>
        <w:br w:type="textWrapping"/>
      </w:r>
      <w:r>
        <w:t>npm run dev:gateway</w:t>
      </w:r>
    </w:p>
    <w:p w14:paraId="5B57D693">
      <w:pPr>
        <w:pStyle w:val="3"/>
        <w:pageBreakBefore w:val="0"/>
      </w:pPr>
      <w:r>
        <w:t>4.2 加载和配置扩展</w:t>
      </w:r>
    </w:p>
    <w:p w14:paraId="47D5F75A">
      <w:pPr>
        <w:spacing w:after="120"/>
      </w:pPr>
      <w:r>
        <w:t>1. 在Chrome打开chrome://extensions，启用开发者模式。</w:t>
      </w:r>
      <w:r>
        <w:br w:type="textWrapping"/>
      </w:r>
      <w:r>
        <w:t>2. 点击“加载已解压的扩展程序”，选择apps/extension/dist。</w:t>
      </w:r>
      <w:r>
        <w:br w:type="textWrapping"/>
      </w:r>
      <w:r>
        <w:t>3. 打开扩展设置，网关地址填ws://127.0.0.1:8787/v1/realtime，令牌填module1-secret。</w:t>
      </w:r>
      <w:r>
        <w:br w:type="textWrapping"/>
      </w:r>
      <w:r>
        <w:t>4. 点击“测试连接”，确认成功，再保存设置。</w:t>
      </w:r>
    </w:p>
    <w:p w14:paraId="3DA583B8">
      <w:pPr>
        <w:pStyle w:val="3"/>
        <w:pageBreakBefore w:val="0"/>
      </w:pPr>
      <w:r>
        <w:t>4.3 展示核心功能</w:t>
      </w:r>
    </w:p>
    <w:p w14:paraId="35471A68">
      <w:pPr>
        <w:spacing w:after="120"/>
      </w:pPr>
      <w:r>
        <w:t>1. 打开普通HTTP/HTTPS网页并播放有声内容。</w:t>
      </w:r>
      <w:r>
        <w:br w:type="textWrapping"/>
      </w:r>
      <w:r>
        <w:t>2. 亲自点击工具栏扩展图标，再点击“开始生成字幕”，按提示授权。</w:t>
      </w:r>
      <w:r>
        <w:br w:type="textWrapping"/>
      </w:r>
      <w:r>
        <w:t>3. 观察原文和译文浮层，调整字号或显示模式。</w:t>
      </w:r>
      <w:r>
        <w:br w:type="textWrapping"/>
      </w:r>
      <w:r>
        <w:t>4. 点击“停止字幕”，确认浮层清空、音频捕获结束。</w:t>
      </w:r>
      <w:r>
        <w:br w:type="textWrapping"/>
      </w:r>
      <w:r>
        <w:t>5. 在网关终端按Ctrl+C停止服务。</w:t>
      </w:r>
    </w:p>
    <w:p w14:paraId="6D6B6091">
      <w:pPr>
        <w:spacing w:after="120"/>
      </w:pPr>
      <w:r>
        <w:t>真实识别与翻译需配置云端服务后另外验证。自动化中的固定字幕用于检查显示逻辑。</w:t>
      </w:r>
    </w:p>
    <w:p w14:paraId="0DDB7727">
      <w:pPr>
        <w:pStyle w:val="2"/>
        <w:pageBreakBefore/>
      </w:pPr>
      <w:r>
        <w:t>5 常见问题</w:t>
      </w:r>
    </w:p>
    <w:tbl>
      <w:tblPr>
        <w:tblStyle w:val="10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5386"/>
      </w:tblGrid>
      <w:tr w14:paraId="4C887552">
        <w:trPr>
          <w:cantSplit/>
          <w:tblHeader/>
        </w:trPr>
        <w:tc>
          <w:tcPr>
            <w:tcW w:w="41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2B5B6F5F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现象</w:t>
            </w:r>
          </w:p>
        </w:tc>
        <w:tc>
          <w:tcPr>
            <w:tcW w:w="4153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53E3F0C">
            <w:pPr>
              <w:keepLines/>
              <w:snapToGrid w:val="0"/>
              <w:spacing w:before="80" w:after="80" w:line="280" w:lineRule="exact"/>
            </w:pPr>
            <w:r>
              <w:rPr>
                <w:b/>
                <w:sz w:val="21"/>
              </w:rPr>
              <w:t>处理方式</w:t>
            </w:r>
          </w:p>
        </w:tc>
      </w:tr>
      <w:tr w14:paraId="4E33F37C">
        <w:trPr>
          <w:cantSplit/>
        </w:trPr>
        <w:tc>
          <w:tcPr>
            <w:tcW w:w="283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E4A33DC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找不到vitest或工作区依赖</w:t>
            </w:r>
          </w:p>
        </w:tc>
        <w:tc>
          <w:tcPr>
            <w:tcW w:w="538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839D95C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确认当前目录包含源码package.json，执行npm ci。</w:t>
            </w:r>
          </w:p>
        </w:tc>
      </w:tr>
      <w:tr w14:paraId="1A32D238">
        <w:trPr>
          <w:cantSplit/>
        </w:trPr>
        <w:tc>
          <w:tcPr>
            <w:tcW w:w="283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823B162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Chromium executable不存在</w:t>
            </w:r>
          </w:p>
        </w:tc>
        <w:tc>
          <w:tcPr>
            <w:tcW w:w="538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627F11F1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执行npx playwright install chromium。</w:t>
            </w:r>
          </w:p>
        </w:tc>
      </w:tr>
      <w:tr w14:paraId="2C78652A">
        <w:trPr>
          <w:cantSplit/>
        </w:trPr>
        <w:tc>
          <w:tcPr>
            <w:tcW w:w="283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64328898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设置测试仍读取上条用例值</w:t>
            </w:r>
          </w:p>
        </w:tc>
        <w:tc>
          <w:tcPr>
            <w:tcW w:w="538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CD4CCAE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通过settings:set重置后台内存和持久化配置，不能只清空storage.local。</w:t>
            </w:r>
          </w:p>
        </w:tc>
      </w:tr>
      <w:tr w14:paraId="6E7901E6">
        <w:trPr>
          <w:cantSplit/>
        </w:trPr>
        <w:tc>
          <w:tcPr>
            <w:tcW w:w="283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55082D14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原版复现退出码非零</w:t>
            </w:r>
          </w:p>
        </w:tc>
        <w:tc>
          <w:tcPr>
            <w:tcW w:w="538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2532549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这是揭示缺陷的预期结果；核对失败用例编号和断言，不应改断言使其通过。</w:t>
            </w:r>
          </w:p>
        </w:tc>
      </w:tr>
      <w:tr w14:paraId="694027B5">
        <w:trPr>
          <w:cantSplit/>
        </w:trPr>
        <w:tc>
          <w:tcPr>
            <w:tcW w:w="283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100A40C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整体回归有1条skipped</w:t>
            </w:r>
          </w:p>
        </w:tc>
        <w:tc>
          <w:tcPr>
            <w:tcW w:w="538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0AEA3A58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原有真实音频捕获用例需要用户手势，按原设置跳过。</w:t>
            </w:r>
          </w:p>
        </w:tc>
      </w:tr>
      <w:tr w14:paraId="483B1DBF">
        <w:trPr>
          <w:cantSplit/>
        </w:trPr>
        <w:tc>
          <w:tcPr>
            <w:tcW w:w="283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1966402A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网关8787端口被占用</w:t>
            </w:r>
          </w:p>
        </w:tc>
        <w:tc>
          <w:tcPr>
            <w:tcW w:w="538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47746F46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停止此前手动启动的网关后重试；本轮网关集成用例使用随机端口。</w:t>
            </w:r>
          </w:p>
        </w:tc>
      </w:tr>
      <w:tr w14:paraId="2F8F85BC">
        <w:trPr>
          <w:cantSplit/>
        </w:trPr>
        <w:tc>
          <w:tcPr>
            <w:tcW w:w="2835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37658CC9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字幕浮层测试不涉及录音</w:t>
            </w:r>
          </w:p>
        </w:tc>
        <w:tc>
          <w:tcPr>
            <w:tcW w:w="5386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</w:tcPr>
          <w:p w14:paraId="7F873D40">
            <w:pPr>
              <w:keepLines/>
              <w:snapToGrid w:val="0"/>
              <w:spacing w:before="80" w:after="80" w:line="280" w:lineRule="exact"/>
            </w:pPr>
            <w:r>
              <w:rPr>
                <w:b w:val="0"/>
                <w:sz w:val="21"/>
              </w:rPr>
              <w:t>它执行真实content.js，但注入固定事件。需另按第4章演示音频捕获。</w:t>
            </w:r>
          </w:p>
        </w:tc>
      </w:tr>
    </w:tbl>
    <w:p w14:paraId="5CC36D70">
      <w:pPr>
        <w:pStyle w:val="3"/>
        <w:pageBreakBefore w:val="0"/>
      </w:pPr>
      <w:r>
        <w:t>演示顺序</w:t>
      </w:r>
    </w:p>
    <w:p w14:paraId="3508C918">
      <w:pPr>
        <w:spacing w:after="120"/>
      </w:pPr>
      <w:r>
        <w:t>依次介绍插件功能与测试环境，展示用例输入和预期，运行全部62条测试并查看结果，再选择一个缺陷展示修复前复现、修复代码及回归。最后说明实际音频和云端效果的后续验收安排。</w:t>
      </w:r>
    </w:p>
    <w:p w14:paraId="54F2171F">
      <w:pPr>
        <w:spacing w:after="120"/>
      </w:pPr>
      <w:r>
        <w:t>成果汇报与本说明采用相同统计。测试运行耗时反映测试环境和执行过程，产品响应延迟需要单独测量。</w:t>
      </w:r>
    </w:p>
    <w:sectPr>
      <w:pgSz w:w="11906" w:h="16838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方正雅意黑 GB18030L2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7619D">
    <w:pPr>
      <w:pStyle w:val="6"/>
      <w:framePr w:wrap="around" w:vAnchor="text" w:hAnchor="margin" w:xAlign="center" w:y="1"/>
      <w:jc w:val="center"/>
      <w:rPr>
        <w:rStyle w:val="14"/>
      </w:rPr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/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  <w:p w14:paraId="54A8A66A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E968C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14A26E93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76B6A"/>
    <w:rsid w:val="007916C2"/>
    <w:rsid w:val="007D7EB2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  <w:rsid w:val="EE79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20" w:line="320" w:lineRule="exact"/>
      <w:ind w:firstLine="0"/>
      <w:jc w:val="both"/>
    </w:pPr>
    <w:rPr>
      <w:rFonts w:ascii="Times New Roman" w:hAnsi="Times New Roman" w:eastAsia="宋体" w:cs="Times New Roman"/>
      <w:color w:val="000000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60" w:after="120" w:line="560" w:lineRule="exact"/>
      <w:outlineLvl w:val="0"/>
    </w:pPr>
    <w:rPr>
      <w:b/>
      <w:bCs/>
      <w:color w:val="000000"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120" w:line="420" w:lineRule="exact"/>
      <w:outlineLvl w:val="1"/>
    </w:pPr>
    <w:rPr>
      <w:rFonts w:ascii="Arial" w:hAnsi="Arial" w:eastAsia="黑体"/>
      <w:b/>
      <w:bCs/>
      <w:color w:val="000000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120" w:line="420" w:lineRule="exact"/>
      <w:outlineLvl w:val="2"/>
    </w:pPr>
    <w:rPr>
      <w:b/>
      <w:bCs/>
      <w:color w:val="000000"/>
      <w:sz w:val="32"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uiPriority w:val="39"/>
    <w:pPr>
      <w:ind w:left="840" w:leftChars="400"/>
    </w:pPr>
  </w:style>
  <w:style w:type="paragraph" w:styleId="6">
    <w:name w:val="footer"/>
    <w:basedOn w:val="1"/>
    <w:link w:val="19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9">
    <w:name w:val="toc 2"/>
    <w:basedOn w:val="1"/>
    <w:next w:val="1"/>
    <w:autoRedefine/>
    <w:uiPriority w:val="39"/>
    <w:pPr>
      <w:ind w:left="420" w:leftChars="200"/>
    </w:pPr>
  </w:style>
  <w:style w:type="table" w:styleId="11">
    <w:name w:val="Table Grid"/>
    <w:basedOn w:val="10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page number"/>
    <w:basedOn w:val="12"/>
    <w:semiHidden/>
    <w:uiPriority w:val="0"/>
  </w:style>
  <w:style w:type="character" w:styleId="15">
    <w:name w:val="Hyperlink"/>
    <w:uiPriority w:val="99"/>
    <w:rPr>
      <w:color w:val="0000FF"/>
      <w:u w:val="single"/>
    </w:rPr>
  </w:style>
  <w:style w:type="paragraph" w:customStyle="1" w:styleId="16">
    <w:name w:val="表格首行"/>
    <w:basedOn w:val="1"/>
    <w:uiPriority w:val="0"/>
    <w:pPr>
      <w:spacing w:line="360" w:lineRule="auto"/>
      <w:jc w:val="center"/>
    </w:pPr>
    <w:rPr>
      <w:rFonts w:ascii="宋体"/>
      <w:b/>
      <w:kern w:val="0"/>
      <w:sz w:val="24"/>
    </w:rPr>
  </w:style>
  <w:style w:type="character" w:customStyle="1" w:styleId="17">
    <w:name w:val="页眉 字符"/>
    <w:basedOn w:val="12"/>
    <w:semiHidden/>
    <w:uiPriority w:val="99"/>
    <w:rPr>
      <w:kern w:val="2"/>
      <w:sz w:val="18"/>
      <w:szCs w:val="18"/>
    </w:rPr>
  </w:style>
  <w:style w:type="character" w:customStyle="1" w:styleId="18">
    <w:name w:val="页眉 字符1"/>
    <w:link w:val="7"/>
    <w:uiPriority w:val="0"/>
    <w:rPr>
      <w:kern w:val="2"/>
      <w:sz w:val="18"/>
      <w:szCs w:val="18"/>
    </w:rPr>
  </w:style>
  <w:style w:type="character" w:customStyle="1" w:styleId="19">
    <w:name w:val="页脚 字符"/>
    <w:link w:val="6"/>
    <w:uiPriority w:val="99"/>
    <w:rPr>
      <w:kern w:val="2"/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paragraph" w:customStyle="1" w:styleId="21">
    <w:name w:val="石墨文档正文"/>
    <w:qFormat/>
    <w:uiPriority w:val="0"/>
    <w:rPr>
      <w:rFonts w:ascii="微软雅黑" w:hAnsi="微软雅黑" w:eastAsia="微软雅黑" w:cs="微软雅黑"/>
      <w:sz w:val="24"/>
      <w:szCs w:val="24"/>
      <w:lang w:val="en-US" w:eastAsia="zh-CN" w:bidi="ar-SA"/>
    </w:rPr>
  </w:style>
  <w:style w:type="paragraph" w:customStyle="1" w:styleId="22">
    <w:name w:val="ds-markdown-paragraph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3">
    <w:name w:val="Title"/>
    <w:uiPriority w:val="0"/>
    <w:pPr>
      <w:spacing w:after="360"/>
    </w:pPr>
    <w:rPr>
      <w:rFonts w:ascii="黑体" w:hAnsi="黑体" w:eastAsia="黑体" w:cs="Times New Roman"/>
      <w:b/>
      <w:color w:val="000000"/>
      <w:sz w:val="5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6</Pages>
  <Words>407</Words>
  <Characters>2322</Characters>
  <Lines>19</Lines>
  <Paragraphs>5</Paragraphs>
  <TotalTime>118</TotalTime>
  <ScaleCrop>false</ScaleCrop>
  <LinksUpToDate>false</LinksUpToDate>
  <CharactersWithSpaces>2724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2019-03-10T22:14:00Z</dcterms:created>
  <dc:creator>白宇、李承远</dc:creator>
  <cp:lastModifiedBy>satomafuyu</cp:lastModifiedBy>
  <dcterms:modified xsi:type="dcterms:W3CDTF">2026-09-14T10:30:53Z</dcterms:modified>
  <dc:title>自动化测试执行说明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B3887201C62067F25D5CA76AD864F8B9_42</vt:lpwstr>
  </property>
</Properties>
</file>