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igration-guide"/>
    <w:p>
      <w:pPr>
        <w:pStyle w:val="Heading1"/>
      </w:pPr>
      <w:r>
        <w:t xml:space="preserve">Migration Guide</w:t>
      </w:r>
    </w:p>
    <w:bookmarkStart w:id="20" w:name="Xa2e991075725d1cbcaedc02414212be1b207de4"/>
    <w:p>
      <w:pPr>
        <w:pStyle w:val="Heading2"/>
      </w:pPr>
      <w:r>
        <w:t xml:space="preserve">Threads Auto-Posting Workflow for Another Local PC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guide explains how to migrate the existing n8n Threads auto-posting workflow to another local PC without redesigning the automation logic.</w:t>
      </w:r>
    </w:p>
    <w:p>
      <w:r>
        <w:pict>
          <v:rect style="width:0;height:1.5pt" o:hralign="center" o:hrstd="t" o:hr="t"/>
        </w:pict>
      </w:r>
    </w:p>
    <w:bookmarkEnd w:id="22"/>
    <w:bookmarkStart w:id="23" w:name="required-software"/>
    <w:p>
      <w:pPr>
        <w:pStyle w:val="Heading1"/>
      </w:pPr>
      <w:r>
        <w:t xml:space="preserve">2. Required Software</w:t>
      </w:r>
    </w:p>
    <w:p>
      <w:pPr>
        <w:pStyle w:val="FirstParagraph"/>
      </w:pPr>
      <w:r>
        <w:t xml:space="preserve">Install the following on the destination PC: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Recommended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LTS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iles-required"/>
    <w:p>
      <w:pPr>
        <w:pStyle w:val="Heading1"/>
      </w:pPr>
      <w:r>
        <w:t xml:space="preserve">3. Files Required</w:t>
      </w:r>
    </w:p>
    <w:p>
      <w:pPr>
        <w:pStyle w:val="FirstParagraph"/>
      </w:pPr>
      <w:r>
        <w:t xml:space="preserve">Prepare the following files before migration: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 Workflow JSON</w:t>
            </w:r>
          </w:p>
        </w:tc>
        <w:tc>
          <w:tcPr/>
          <w:p>
            <w:pPr>
              <w:pStyle w:val="Compact"/>
            </w:pPr>
            <w:r>
              <w:t xml:space="preserve">Workflow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Documentation</w:t>
            </w:r>
          </w:p>
        </w:tc>
        <w:tc>
          <w:tcPr/>
          <w:p>
            <w:pPr>
              <w:pStyle w:val="Compact"/>
            </w:pPr>
            <w:r>
              <w:t xml:space="preserve">Reference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Credentials</w:t>
            </w:r>
          </w:p>
        </w:tc>
        <w:tc>
          <w:tcPr/>
          <w:p>
            <w:pPr>
              <w:pStyle w:val="Compact"/>
            </w:pPr>
            <w:r>
              <w:t xml:space="preserve">Authentication 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import-workflow"/>
    <w:p>
      <w:pPr>
        <w:pStyle w:val="Heading1"/>
      </w:pPr>
      <w:r>
        <w:t xml:space="preserve">4. Import Workflow</w:t>
      </w:r>
    </w:p>
    <w:bookmarkStart w:id="25" w:name="step-1-open-n8n"/>
    <w:p>
      <w:pPr>
        <w:pStyle w:val="Heading2"/>
      </w:pPr>
      <w:r>
        <w:t xml:space="preserve">Step 1 — Open n8n</w:t>
      </w:r>
    </w:p>
    <w:p>
      <w:pPr>
        <w:pStyle w:val="FirstParagraph"/>
      </w:pPr>
      <w:r>
        <w:t xml:space="preserve">Launch n8n on the new machine.</w:t>
      </w:r>
    </w:p>
    <w:bookmarkEnd w:id="25"/>
    <w:bookmarkStart w:id="26" w:name="step-2-import-workflow"/>
    <w:p>
      <w:pPr>
        <w:pStyle w:val="Heading2"/>
      </w:pPr>
      <w:r>
        <w:t xml:space="preserve">Step 2 — Import Workflow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“Import from File”</w:t>
      </w:r>
    </w:p>
    <w:p>
      <w:pPr>
        <w:pStyle w:val="Compact"/>
        <w:numPr>
          <w:ilvl w:val="0"/>
          <w:numId w:val="1001"/>
        </w:numPr>
      </w:pPr>
      <w:r>
        <w:t xml:space="preserve">Select exported JSON workflow</w:t>
      </w:r>
    </w:p>
    <w:p>
      <w:pPr>
        <w:pStyle w:val="Compact"/>
        <w:numPr>
          <w:ilvl w:val="0"/>
          <w:numId w:val="1001"/>
        </w:numPr>
      </w:pPr>
      <w:r>
        <w:t xml:space="preserve">Save workflow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econfigure-credentials"/>
    <w:p>
      <w:pPr>
        <w:pStyle w:val="Heading1"/>
      </w:pPr>
      <w:r>
        <w:t xml:space="preserve">5. Reconfigure Credentials</w:t>
      </w:r>
    </w:p>
    <w:p>
      <w:pPr>
        <w:pStyle w:val="FirstParagraph"/>
      </w:pPr>
      <w:r>
        <w:t xml:space="preserve">Credentials are machine-specific and must be recreated.</w:t>
      </w:r>
    </w:p>
    <w:bookmarkStart w:id="31" w:name="required-credential-setup"/>
    <w:p>
      <w:pPr>
        <w:pStyle w:val="Heading2"/>
      </w:pPr>
      <w:r>
        <w:t xml:space="preserve">Required Credential Setup</w:t>
      </w:r>
    </w:p>
    <w:bookmarkStart w:id="28" w:name="a.-google-sheets-oauth2"/>
    <w:p>
      <w:pPr>
        <w:pStyle w:val="Heading3"/>
      </w:pPr>
      <w:r>
        <w:t xml:space="preserve">A. Google Sheets OAuth2</w:t>
      </w:r>
    </w:p>
    <w:p>
      <w:pPr>
        <w:pStyle w:val="FirstParagraph"/>
      </w:pPr>
      <w:r>
        <w:t xml:space="preserve">Reconnect:</w:t>
      </w:r>
    </w:p>
    <w:p>
      <w:pPr>
        <w:pStyle w:val="Compact"/>
        <w:numPr>
          <w:ilvl w:val="0"/>
          <w:numId w:val="1002"/>
        </w:numPr>
      </w:pPr>
      <w:r>
        <w:t xml:space="preserve">Google Sheets Trigger</w:t>
      </w:r>
    </w:p>
    <w:p>
      <w:pPr>
        <w:pStyle w:val="Compact"/>
        <w:numPr>
          <w:ilvl w:val="0"/>
          <w:numId w:val="1002"/>
        </w:numPr>
      </w:pPr>
      <w:r>
        <w:t xml:space="preserve">Google Sheets Nodes</w:t>
      </w:r>
    </w:p>
    <w:bookmarkEnd w:id="28"/>
    <w:bookmarkStart w:id="29" w:name="b.-gmail-oauth2"/>
    <w:p>
      <w:pPr>
        <w:pStyle w:val="Heading3"/>
      </w:pPr>
      <w:r>
        <w:t xml:space="preserve">B. Gmail OAuth2</w:t>
      </w:r>
    </w:p>
    <w:p>
      <w:pPr>
        <w:pStyle w:val="FirstParagraph"/>
      </w:pPr>
      <w:r>
        <w:t xml:space="preserve">Reconnect:</w:t>
      </w:r>
    </w:p>
    <w:p>
      <w:pPr>
        <w:pStyle w:val="Compact"/>
        <w:numPr>
          <w:ilvl w:val="0"/>
          <w:numId w:val="1003"/>
        </w:numPr>
      </w:pPr>
      <w:r>
        <w:t xml:space="preserve">Gmail Node</w:t>
      </w:r>
    </w:p>
    <w:bookmarkEnd w:id="29"/>
    <w:bookmarkStart w:id="30" w:name="c.-threads-access-token"/>
    <w:p>
      <w:pPr>
        <w:pStyle w:val="Heading3"/>
      </w:pPr>
      <w:r>
        <w:t xml:space="preserve">C. Threads Access Token</w:t>
      </w:r>
    </w:p>
    <w:p>
      <w:pPr>
        <w:pStyle w:val="FirstParagraph"/>
      </w:pPr>
      <w:r>
        <w:t xml:space="preserve">Update:</w:t>
      </w:r>
    </w:p>
    <w:p>
      <w:pPr>
        <w:pStyle w:val="Compact"/>
        <w:numPr>
          <w:ilvl w:val="0"/>
          <w:numId w:val="1004"/>
        </w:numPr>
      </w:pPr>
      <w:r>
        <w:t xml:space="preserve">Threads Access Token</w:t>
      </w:r>
    </w:p>
    <w:p>
      <w:pPr>
        <w:pStyle w:val="Compact"/>
        <w:numPr>
          <w:ilvl w:val="0"/>
          <w:numId w:val="1004"/>
        </w:numPr>
      </w:pPr>
      <w:r>
        <w:t xml:space="preserve">Threads ID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reissue-expired-tokens"/>
    <w:p>
      <w:pPr>
        <w:pStyle w:val="Heading1"/>
      </w:pPr>
      <w:r>
        <w:t xml:space="preserve">6. Reissue Expired Tokens</w:t>
      </w:r>
    </w:p>
    <w:p>
      <w:pPr>
        <w:pStyle w:val="FirstParagraph"/>
      </w:pPr>
      <w:r>
        <w:t xml:space="preserve">Threads tokens may expire.</w:t>
      </w:r>
    </w:p>
    <w:p>
      <w:pPr>
        <w:pStyle w:val="BodyText"/>
      </w:pPr>
      <w:r>
        <w:t xml:space="preserve">If expired:</w:t>
      </w:r>
      <w:r>
        <w:t xml:space="preserve"> </w:t>
      </w:r>
      <w:r>
        <w:t xml:space="preserve">1. Open Meta Developer Dashboard</w:t>
      </w:r>
      <w:r>
        <w:t xml:space="preserve"> </w:t>
      </w:r>
      <w:r>
        <w:t xml:space="preserve">2. Generate a new Threads access token</w:t>
      </w:r>
      <w:r>
        <w:t xml:space="preserve"> </w:t>
      </w:r>
      <w:r>
        <w:t xml:space="preserve">3. Replace old token in Google Sheets or environment variable</w:t>
      </w:r>
    </w:p>
    <w:p>
      <w:r>
        <w:pict>
          <v:rect style="width:0;height:1.5pt" o:hralign="center" o:hrstd="t" o:hr="t"/>
        </w:pict>
      </w:r>
    </w:p>
    <w:bookmarkEnd w:id="33"/>
    <w:bookmarkStart w:id="34" w:name="verify-google-sheets"/>
    <w:p>
      <w:pPr>
        <w:pStyle w:val="Heading1"/>
      </w:pPr>
      <w:r>
        <w:t xml:space="preserve">7. Verify Google Sheets</w:t>
      </w:r>
    </w:p>
    <w:p>
      <w:pPr>
        <w:pStyle w:val="FirstParagraph"/>
      </w:pPr>
      <w:r>
        <w:t xml:space="preserve">Ensure all worksheets exist: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Worksheet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Post for the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Step #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Provided Setup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update-environment-variables"/>
    <w:p>
      <w:pPr>
        <w:pStyle w:val="Heading1"/>
      </w:pPr>
      <w:r>
        <w:t xml:space="preserve">8. Update Environment Variables</w:t>
      </w:r>
    </w:p>
    <w:p>
      <w:pPr>
        <w:pStyle w:val="FirstParagraph"/>
      </w:pPr>
      <w:r>
        <w:t xml:space="preserve">If using environment variables:</w:t>
      </w:r>
    </w:p>
    <w:p>
      <w:pPr>
        <w:pStyle w:val="Compact"/>
        <w:numPr>
          <w:ilvl w:val="0"/>
          <w:numId w:val="1005"/>
        </w:numPr>
      </w:pPr>
      <w:r>
        <w:t xml:space="preserve">Update values on the destination PC</w:t>
      </w:r>
    </w:p>
    <w:p>
      <w:pPr>
        <w:pStyle w:val="Compact"/>
        <w:numPr>
          <w:ilvl w:val="0"/>
          <w:numId w:val="1005"/>
        </w:numPr>
      </w:pPr>
      <w:r>
        <w:t xml:space="preserve">Restart n8n after changes</w:t>
      </w:r>
    </w:p>
    <w:p>
      <w:r>
        <w:pict>
          <v:rect style="width:0;height:1.5pt" o:hralign="center" o:hrstd="t" o:hr="t"/>
        </w:pict>
      </w:r>
    </w:p>
    <w:bookmarkEnd w:id="35"/>
    <w:bookmarkStart w:id="36" w:name="review-webhook-or-callback-values"/>
    <w:p>
      <w:pPr>
        <w:pStyle w:val="Heading1"/>
      </w:pPr>
      <w:r>
        <w:t xml:space="preserve">9. Review Webhook or Callback Values</w:t>
      </w:r>
    </w:p>
    <w:p>
      <w:pPr>
        <w:pStyle w:val="FirstParagraph"/>
      </w:pPr>
      <w:r>
        <w:t xml:space="preserve">If callback URLs change:</w:t>
      </w:r>
    </w:p>
    <w:p>
      <w:pPr>
        <w:pStyle w:val="Compact"/>
        <w:numPr>
          <w:ilvl w:val="0"/>
          <w:numId w:val="1006"/>
        </w:numPr>
      </w:pPr>
      <w:r>
        <w:t xml:space="preserve">Update API callback configurations</w:t>
      </w:r>
    </w:p>
    <w:p>
      <w:pPr>
        <w:pStyle w:val="Compact"/>
        <w:numPr>
          <w:ilvl w:val="0"/>
          <w:numId w:val="1006"/>
        </w:numPr>
      </w:pPr>
      <w:r>
        <w:t xml:space="preserve">Verify local hostnames or ports</w:t>
      </w:r>
    </w:p>
    <w:p>
      <w:r>
        <w:pict>
          <v:rect style="width:0;height:1.5pt" o:hralign="center" o:hrstd="t" o:hr="t"/>
        </w:pict>
      </w:r>
    </w:p>
    <w:bookmarkEnd w:id="36"/>
    <w:bookmarkStart w:id="37" w:name="final-testing-procedure"/>
    <w:p>
      <w:pPr>
        <w:pStyle w:val="Heading1"/>
      </w:pPr>
      <w:r>
        <w:t xml:space="preserve">10. Final Testing Procedure</w:t>
      </w:r>
    </w:p>
    <w:p>
      <w:pPr>
        <w:pStyle w:val="FirstParagraph"/>
      </w:pPr>
      <w:r>
        <w:t xml:space="preserve">Run the following tests after migration: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post in Google Sheets</w:t>
            </w:r>
          </w:p>
        </w:tc>
        <w:tc>
          <w:tcPr/>
          <w:p>
            <w:pPr>
              <w:pStyle w:val="Compact"/>
            </w:pPr>
            <w:r>
              <w:t xml:space="preserve">Workflow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Threads post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Threads post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logging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notification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3" w:name="troubleshooting"/>
    <w:p>
      <w:pPr>
        <w:pStyle w:val="Heading1"/>
      </w:pPr>
      <w:r>
        <w:t xml:space="preserve">11. Troubleshooting</w:t>
      </w:r>
    </w:p>
    <w:bookmarkStart w:id="42" w:name="common-issues"/>
    <w:p>
      <w:pPr>
        <w:pStyle w:val="Heading2"/>
      </w:pPr>
      <w:r>
        <w:t xml:space="preserve">Common Issues</w:t>
      </w:r>
    </w:p>
    <w:bookmarkStart w:id="38" w:name="invalid-oauth-credentials"/>
    <w:p>
      <w:pPr>
        <w:pStyle w:val="Heading3"/>
      </w:pPr>
      <w:r>
        <w:t xml:space="preserve">Invalid OAuth Credentials</w:t>
      </w:r>
    </w:p>
    <w:p>
      <w:pPr>
        <w:pStyle w:val="FirstParagraph"/>
      </w:pPr>
      <w:r>
        <w:t xml:space="preserve">Solution:</w:t>
      </w:r>
    </w:p>
    <w:p>
      <w:pPr>
        <w:pStyle w:val="Compact"/>
        <w:numPr>
          <w:ilvl w:val="0"/>
          <w:numId w:val="1007"/>
        </w:numPr>
      </w:pPr>
      <w:r>
        <w:t xml:space="preserve">Reconnect OAuth accounts</w:t>
      </w:r>
    </w:p>
    <w:bookmarkEnd w:id="38"/>
    <w:bookmarkStart w:id="39" w:name="threads-api-error"/>
    <w:p>
      <w:pPr>
        <w:pStyle w:val="Heading3"/>
      </w:pPr>
      <w:r>
        <w:t xml:space="preserve">Threads API Error</w:t>
      </w:r>
    </w:p>
    <w:p>
      <w:pPr>
        <w:pStyle w:val="FirstParagraph"/>
      </w:pPr>
      <w:r>
        <w:t xml:space="preserve">Solution:</w:t>
      </w:r>
    </w:p>
    <w:p>
      <w:pPr>
        <w:pStyle w:val="Compact"/>
        <w:numPr>
          <w:ilvl w:val="0"/>
          <w:numId w:val="1008"/>
        </w:numPr>
      </w:pPr>
      <w:r>
        <w:t xml:space="preserve">Verify access token validity</w:t>
      </w:r>
    </w:p>
    <w:bookmarkEnd w:id="39"/>
    <w:bookmarkStart w:id="40" w:name="google-sheets-trigger-not-running"/>
    <w:p>
      <w:pPr>
        <w:pStyle w:val="Heading3"/>
      </w:pPr>
      <w:r>
        <w:t xml:space="preserve">Google Sheets Trigger Not Running</w:t>
      </w:r>
    </w:p>
    <w:p>
      <w:pPr>
        <w:pStyle w:val="FirstParagraph"/>
      </w:pPr>
      <w:r>
        <w:t xml:space="preserve">Solution:</w:t>
      </w:r>
    </w:p>
    <w:p>
      <w:pPr>
        <w:pStyle w:val="Compact"/>
        <w:numPr>
          <w:ilvl w:val="0"/>
          <w:numId w:val="1009"/>
        </w:numPr>
      </w:pPr>
      <w:r>
        <w:t xml:space="preserve">Check spreadsheet permissions</w:t>
      </w:r>
    </w:p>
    <w:bookmarkEnd w:id="40"/>
    <w:bookmarkStart w:id="41" w:name="gmail-notification-failure"/>
    <w:p>
      <w:pPr>
        <w:pStyle w:val="Heading3"/>
      </w:pPr>
      <w:r>
        <w:t xml:space="preserve">Gmail Notification Failure</w:t>
      </w:r>
    </w:p>
    <w:p>
      <w:pPr>
        <w:pStyle w:val="FirstParagraph"/>
      </w:pPr>
      <w:r>
        <w:t xml:space="preserve">Solution:</w:t>
      </w:r>
    </w:p>
    <w:p>
      <w:pPr>
        <w:pStyle w:val="Compact"/>
        <w:numPr>
          <w:ilvl w:val="0"/>
          <w:numId w:val="1010"/>
        </w:numPr>
      </w:pPr>
      <w:r>
        <w:t xml:space="preserve">Reauthenticate Gmail OAuth2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migration-completion-checklist"/>
    <w:p>
      <w:pPr>
        <w:pStyle w:val="Heading1"/>
      </w:pPr>
      <w:r>
        <w:t xml:space="preserve">12. Migration Completion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Imported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 Connected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Connected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Token Updated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Posting Test Successful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Verified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Verified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final-notes"/>
    <w:p>
      <w:pPr>
        <w:pStyle w:val="Heading1"/>
      </w:pPr>
      <w:r>
        <w:t xml:space="preserve">13. Final Notes</w:t>
      </w:r>
    </w:p>
    <w:p>
      <w:pPr>
        <w:pStyle w:val="FirstParagraph"/>
      </w:pPr>
      <w:r>
        <w:t xml:space="preserve">The workflow architecture is fully reusable and portable across environments as long as credentials and external integrations are reconfigured properly after migration.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2026-05-30T13:52:24Z</dcterms:created>
  <dcterms:modified xsi:type="dcterms:W3CDTF">2026-05-30T13:52:24Z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