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solidity文档学习笔记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本学习笔记结构依照登链社区solidity中文文档编写，以自己在学习过程中加深印象以及方便查找为目的。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day1</w:t>
      </w:r>
    </w:p>
    <w:p>
      <w:pPr>
        <w:pStyle w:val="2"/>
        <w:spacing w:before="320" w:after="120" w:line="288" w:lineRule="auto"/>
        <w:ind w:left="453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合约基本结构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//SPDX-Licenxe-Identifier: GPL-3.0 (机器可读许可证)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Prama solidity &gt;=0.8.0 (运行代码所需要的编译器版本要求)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Contract Coin{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constructor(){}         (构造函数，在代码部署时执行)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//内部添加函数逻辑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}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实践代码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//SPDX-License-Identifier: GPL-3.0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pragma solidity ^0.8.4;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contract Coin {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address public minter;</w:t>
      </w:r>
      <w:r>
        <w:rPr>
          <w:rFonts w:eastAsia="等线" w:ascii="Arial" w:cs="Arial" w:hAnsi="Arial"/>
          <w:sz w:val="22"/>
          <w:shd w:fill="f76964"/>
        </w:rPr>
        <w:t>//一个公开访问的状态变量，且不允许任何算术操作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   </w:t>
      </w:r>
      <w:r>
        <w:rPr>
          <w:rFonts w:eastAsia="等线" w:ascii="Arial" w:cs="Arial" w:hAnsi="Arial"/>
          <w:sz w:val="22"/>
          <w:shd w:fill="4e83fd"/>
        </w:rPr>
        <w:t>public关键字会自动生产函数用于访问状态变量的当前值，即我们在访问    状态变量的时候，其实是调用了编译器生成的函数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  <w:shd w:fill="4e83fd"/>
        </w:rPr>
        <w:t xml:space="preserve">  function minter() external view returns (address) { return minter; }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mapping (address =&gt; uint256) public balances;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4e83fd"/>
        </w:rPr>
        <w:t>一个地址到无符号整数的映射，但是不能获得映射的键与值,只能通过地址指针来发现值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event Sent(address from, address to, uint amount);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4e83fd"/>
        </w:rPr>
        <w:t>event表示一个事件，在其所在函数被触发之后，你就能获取监听信息，方便追踪交易。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constructor(){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    minter = msg.sender;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}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4e83fd"/>
        </w:rPr>
        <w:t>构造函数constructor是只能在创建合约初期运行的函数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function mint(address reciver, uint amount)public{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    require(msg.sender == minter);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    balances[reciver] += amount;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}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error insufficientbalance(uint requested,uint available);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4e83fd"/>
        </w:rPr>
        <w:t>error用于向调用者反馈错误信息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function sender(address reciver,uint amount)public {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    if(amount &gt; balances[msg.sender])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        revert insufficientbalance({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            requested:amount,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            available:balances[msg.sender]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        });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    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    balances[msg.sender] -= amount;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    balances[reciver] += amount;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    emit Sent(msg.sender,reciver,amount);//事件触发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 }</w:t>
      </w:r>
    </w:p>
    <w:p>
      <w:pPr>
        <w:spacing w:before="120" w:after="120" w:line="288" w:lineRule="auto"/>
        <w:ind w:left="453"/>
        <w:jc w:val="left"/>
      </w:pPr>
    </w:p>
    <w:p>
      <w:pPr>
        <w:pStyle w:val="2"/>
        <w:spacing w:before="320" w:after="120" w:line="288" w:lineRule="auto"/>
        <w:ind w:left="453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evm</w:t>
      </w:r>
      <w:r>
        <w:rPr>
          <w:rFonts w:eastAsia="等线" w:ascii="Arial" w:cs="Arial" w:hAnsi="Arial"/>
          <w:b w:val="true"/>
          <w:sz w:val="32"/>
        </w:rPr>
        <w:t>基础知识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以太坊虚拟机</w:t>
      </w:r>
      <w:r>
        <w:rPr>
          <w:rFonts w:eastAsia="等线" w:ascii="Arial" w:cs="Arial" w:hAnsi="Arial"/>
          <w:sz w:val="22"/>
        </w:rPr>
        <w:t>evm</w:t>
      </w:r>
      <w:r>
        <w:rPr>
          <w:rFonts w:eastAsia="等线" w:ascii="Arial" w:cs="Arial" w:hAnsi="Arial"/>
          <w:sz w:val="22"/>
        </w:rPr>
        <w:t>是智能合约的运行环境，它是沙盒封装的也是完全隔离的，evm在运行代码时无法访问网络，文件以及其他进程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账户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以太坊中有两类账户，外部账户和合约账户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外部账户由公钥私钥对控制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合约账户由账户所存储的代码控制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两类账户类型都是相同的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交易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即一个账户向另一个账户发送的消息，包含二进制数据和以太币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Gas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每笔交易完成时所收取的费用，由原始交易发起人支付。当</w:t>
      </w:r>
      <w:r>
        <w:rPr>
          <w:rFonts w:eastAsia="等线" w:ascii="Arial" w:cs="Arial" w:hAnsi="Arial"/>
          <w:sz w:val="22"/>
        </w:rPr>
        <w:t>evm</w:t>
      </w:r>
      <w:r>
        <w:rPr>
          <w:rFonts w:eastAsia="等线" w:ascii="Arial" w:cs="Arial" w:hAnsi="Arial"/>
          <w:sz w:val="22"/>
        </w:rPr>
        <w:t>执行交易时，gas按特定规则消耗，当gas消耗完毕后，当前调用帧所做的所有状态操作都将会回滚到最近的未执行的状态。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存储，内存，栈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存储是账户上的一块持久化的内存区，读写效率低下，而且修改开销很高。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内存是一块临时的存储空间，合约会为每一次调用获取一块重新擦拭干净的内存，读长度限制256位，写长度可以为8位和256位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栈是用于合约执行时存储各种临时变量状态的空间，最大容纳1024个元素，每个元素最大长度为256位。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合约自毁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合约代码从区块链上移除的唯一方法是在合约中执行自毁操作，即将合约账户中的以太币发送到指定目标，然后将所有存储状态和代码移除。但是有丢失以太币的风险</w:t>
      </w:r>
      <w:r>
        <w:rPr>
          <w:rFonts w:eastAsia="等线" w:ascii="Arial" w:cs="Arial" w:hAnsi="Arial"/>
          <w:sz w:val="22"/>
          <w:shd w:fill="f76964"/>
        </w:rPr>
        <w:t>（指定目标位失效账户）</w:t>
      </w:r>
    </w:p>
    <w:p>
      <w:pPr>
        <w:spacing w:before="120" w:after="120" w:line="288" w:lineRule="auto"/>
        <w:ind w:left="453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day2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函数修改器modifier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用于以声明的方式来修改函数语义，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Modifier onlyseller (){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require(){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_;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}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事件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一个方便日志调用的接口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Event  eventname(参数)；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触发用法即在需要监听的函数或其他操作中使用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Emit eventname(参数)；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错误error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用于用户自定义错误的名称和数据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error errorname(参数);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触发时使用revert语句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Revert errorname(参数)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简单的实践代码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400675" cy="17335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400675" cy="25812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453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结构体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类似于java中的抽象类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struct structname{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Xxx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Xxx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xxx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}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枚举型enum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enum state{xxx,xxx,xxx}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类型与逻辑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solidity是一种静态类型的语言，每个变量都要在编译时指定变量的类型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在solidity中 null与 undefined并不存在，但是变量被声明时总有一个默认值，且默认值总与数据类型有关</w:t>
      </w:r>
    </w:p>
    <w:p>
      <w:pPr>
        <w:pStyle w:val="4"/>
        <w:spacing w:before="260" w:after="120" w:line="288" w:lineRule="auto"/>
        <w:ind w:left="453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值类型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以下类型称为值类型，因为这些变量始终按照值来转递，就是说这些变量在函数中作为参数或者用于赋值时，会进行值的复制</w:t>
      </w:r>
    </w:p>
    <w:p>
      <w:pPr>
        <w:pStyle w:val="5"/>
        <w:spacing w:before="240" w:after="120" w:line="288" w:lineRule="auto"/>
        <w:ind w:left="453"/>
        <w:jc w:val="left"/>
        <w:outlineLvl w:val="4"/>
      </w:pPr>
      <w:r>
        <w:rPr>
          <w:rFonts w:eastAsia="等线" w:ascii="Arial" w:cs="Arial" w:hAnsi="Arial"/>
          <w:b w:val="true"/>
          <w:sz w:val="24"/>
        </w:rPr>
        <w:t>布尔型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bool 取值为true 或者false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相关的逻辑运算符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！逻辑非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&amp;&amp;逻辑与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||逻辑或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==相等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！=不等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运算符 </w:t>
      </w:r>
      <w:r>
        <w:rPr>
          <w:rFonts w:eastAsia="Consolas" w:ascii="Consolas" w:cs="Consolas" w:hAnsi="Consolas"/>
          <w:sz w:val="22"/>
          <w:shd w:fill="EFF0F1"/>
        </w:rPr>
        <w:t>||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&amp;&amp;</w:t>
      </w:r>
      <w:r>
        <w:rPr>
          <w:rFonts w:eastAsia="等线" w:ascii="Arial" w:cs="Arial" w:hAnsi="Arial"/>
          <w:sz w:val="22"/>
        </w:rPr>
        <w:t xml:space="preserve"> 都遵循同样的短路（ short-circuiting ）规则。就是说在表达式 </w:t>
      </w:r>
      <w:r>
        <w:rPr>
          <w:rFonts w:eastAsia="Consolas" w:ascii="Consolas" w:cs="Consolas" w:hAnsi="Consolas"/>
          <w:sz w:val="22"/>
          <w:shd w:fill="EFF0F1"/>
        </w:rPr>
        <w:t>f(x) || g(y)</w:t>
      </w:r>
      <w:r>
        <w:rPr>
          <w:rFonts w:eastAsia="等线" w:ascii="Arial" w:cs="Arial" w:hAnsi="Arial"/>
          <w:sz w:val="22"/>
        </w:rPr>
        <w:t xml:space="preserve"> 中， 如果 </w:t>
      </w:r>
      <w:r>
        <w:rPr>
          <w:rFonts w:eastAsia="Consolas" w:ascii="Consolas" w:cs="Consolas" w:hAnsi="Consolas"/>
          <w:sz w:val="22"/>
          <w:shd w:fill="EFF0F1"/>
        </w:rPr>
        <w:t>f(x)</w:t>
      </w:r>
      <w:r>
        <w:rPr>
          <w:rFonts w:eastAsia="等线" w:ascii="Arial" w:cs="Arial" w:hAnsi="Arial"/>
          <w:sz w:val="22"/>
        </w:rPr>
        <w:t xml:space="preserve"> 的值为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，那么 </w:t>
      </w:r>
      <w:r>
        <w:rPr>
          <w:rFonts w:eastAsia="Consolas" w:ascii="Consolas" w:cs="Consolas" w:hAnsi="Consolas"/>
          <w:sz w:val="22"/>
          <w:shd w:fill="EFF0F1"/>
        </w:rPr>
        <w:t>g(y)</w:t>
      </w:r>
      <w:r>
        <w:rPr>
          <w:rFonts w:eastAsia="等线" w:ascii="Arial" w:cs="Arial" w:hAnsi="Arial"/>
          <w:sz w:val="22"/>
        </w:rPr>
        <w:t xml:space="preserve"> 就不会被执行，即使会出现一些副作用。</w:t>
      </w:r>
    </w:p>
    <w:p>
      <w:pPr>
        <w:pStyle w:val="5"/>
        <w:spacing w:before="240" w:after="120" w:line="288" w:lineRule="auto"/>
        <w:ind w:left="453"/>
        <w:jc w:val="left"/>
        <w:outlineLvl w:val="4"/>
      </w:pPr>
      <w:r>
        <w:rPr>
          <w:rFonts w:eastAsia="等线" w:ascii="Arial" w:cs="Arial" w:hAnsi="Arial"/>
          <w:b w:val="true"/>
          <w:sz w:val="24"/>
        </w:rPr>
        <w:t>整型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整型分为有符号整型和无符号整型 int/uint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相关运算符 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比较&gt;&lt; &lt;=  &gt;= == != 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位运算  &amp;与  |或  ^异或  ~取反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移位 &lt;&lt; 左移    &gt;&gt;右移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算术运算  +- */   **幂  %取余或者模，幂运算只支持无符号整数</w:t>
      </w:r>
    </w:p>
    <w:p>
      <w:pPr>
        <w:pStyle w:val="5"/>
        <w:spacing w:before="240" w:after="120" w:line="288" w:lineRule="auto"/>
        <w:ind w:left="453"/>
        <w:jc w:val="left"/>
        <w:outlineLvl w:val="4"/>
      </w:pPr>
      <w:r>
        <w:rPr>
          <w:rFonts w:eastAsia="等线" w:ascii="Arial" w:cs="Arial" w:hAnsi="Arial"/>
          <w:b w:val="true"/>
          <w:sz w:val="24"/>
        </w:rPr>
        <w:t>定长浮点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fixed/unfixed可以表示各种大小的有符号和无符号定长浮点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在关键字unfixedMxN与fixedMxN中，M表示该类型所占用的位数，M需要被8整除，8-256.N表示可用的小数位数，0-80的某一个数</w:t>
      </w:r>
    </w:p>
    <w:p>
      <w:pPr>
        <w:pStyle w:val="5"/>
        <w:spacing w:before="240" w:after="120" w:line="288" w:lineRule="auto"/>
        <w:ind w:left="453"/>
        <w:jc w:val="left"/>
        <w:outlineLvl w:val="4"/>
      </w:pPr>
      <w:r>
        <w:rPr>
          <w:rFonts w:eastAsia="等线" w:ascii="Arial" w:cs="Arial" w:hAnsi="Arial"/>
          <w:b w:val="true"/>
          <w:sz w:val="24"/>
        </w:rPr>
        <w:t>地址类型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address 保存一个20字节的值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address payable 表示可支付地址，但是有成员函数transfer和send</w:t>
      </w:r>
    </w:p>
    <w:p>
      <w:pPr>
        <w:pStyle w:val="5"/>
        <w:spacing w:before="240" w:after="120" w:line="288" w:lineRule="auto"/>
        <w:ind w:left="453"/>
        <w:jc w:val="left"/>
        <w:outlineLvl w:val="4"/>
      </w:pPr>
      <w:r>
        <w:rPr>
          <w:rFonts w:eastAsia="等线" w:ascii="Arial" w:cs="Arial" w:hAnsi="Arial"/>
          <w:b w:val="true"/>
          <w:sz w:val="24"/>
        </w:rPr>
        <w:t>地址型成员变量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Balance 和transfer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可以使用 </w:t>
      </w:r>
      <w:r>
        <w:rPr>
          <w:rFonts w:eastAsia="Consolas" w:ascii="Consolas" w:cs="Consolas" w:hAnsi="Consolas"/>
          <w:sz w:val="22"/>
          <w:shd w:fill="EFF0F1"/>
        </w:rPr>
        <w:t>balance</w:t>
      </w:r>
      <w:r>
        <w:rPr>
          <w:rFonts w:eastAsia="等线" w:ascii="Arial" w:cs="Arial" w:hAnsi="Arial"/>
          <w:sz w:val="22"/>
        </w:rPr>
        <w:t xml:space="preserve"> 属性来查询一个地址的余额， 也可以使用 </w:t>
      </w:r>
      <w:r>
        <w:rPr>
          <w:rFonts w:eastAsia="Consolas" w:ascii="Consolas" w:cs="Consolas" w:hAnsi="Consolas"/>
          <w:sz w:val="22"/>
          <w:shd w:fill="EFF0F1"/>
        </w:rPr>
        <w:t>transfer</w:t>
      </w:r>
      <w:r>
        <w:rPr>
          <w:rFonts w:eastAsia="等线" w:ascii="Arial" w:cs="Arial" w:hAnsi="Arial"/>
          <w:sz w:val="22"/>
        </w:rPr>
        <w:t xml:space="preserve"> 函数向一个可支付地址（payable address）发送 以太币Ether （以 wei 为单位）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send成员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Send是transfer的低级版本，执行失败之后，合约不会因为异常而终止，返回返回false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code和codehash成员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可以通过 .code来访问合约字节码</w:t>
      </w:r>
    </w:p>
    <w:p>
      <w:pPr>
        <w:pStyle w:val="5"/>
        <w:spacing w:before="240" w:after="120" w:line="288" w:lineRule="auto"/>
        <w:ind w:left="453"/>
        <w:jc w:val="left"/>
        <w:outlineLvl w:val="4"/>
      </w:pPr>
      <w:r>
        <w:rPr>
          <w:rFonts w:eastAsia="等线" w:ascii="Arial" w:cs="Arial" w:hAnsi="Arial"/>
          <w:b w:val="true"/>
          <w:sz w:val="24"/>
        </w:rPr>
        <w:t>定长字节数组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byte1 byte2 ……byte32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变长字节数组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Bytes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String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他们都不是值类型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day3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映射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映射类型的声明结构是：mapping(keytype =&gt; valuetype)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keytype是除了数组类型其他的都可以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valuetype是所有类型都可以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2023-02-12T08:53:17Z</dcterms:created>
  <dc:creator>Apache POI</dc:creator>
</cp:coreProperties>
</file>