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aramond" w:cs="Garamond" w:eastAsia="Garamond" w:hAnsi="Garamond"/>
          <w:sz w:val="24"/>
          <w:szCs w:val="24"/>
        </w:rPr>
        <w:sectPr>
          <w:headerReference r:id="rId7" w:type="default"/>
          <w:pgSz w:h="15840" w:w="12240" w:orient="portrait"/>
          <w:pgMar w:bottom="1440" w:top="1440" w:left="1440" w:right="1440" w:header="720" w:footer="720"/>
          <w:pgNumType w:start="1"/>
        </w:sect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02">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CONFIDENTIAL SETTLEMENT COMMUNICATION</w:t>
      </w:r>
    </w:p>
    <w:p w:rsidR="00000000" w:rsidDel="00000000" w:rsidP="00000000" w:rsidRDefault="00000000" w:rsidRPr="00000000" w14:paraId="00000003">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Protected by California Evidence Code §§1152 and 1154</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{{today_date}}</w:t>
      </w:r>
    </w:p>
    <w:p w:rsidR="00000000" w:rsidDel="00000000" w:rsidP="00000000" w:rsidRDefault="00000000" w:rsidRPr="00000000" w14:paraId="00000006">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7">
      <w:pPr>
        <w:jc w:val="center"/>
        <w:rPr>
          <w:rFonts w:ascii="Garamond" w:cs="Garamond" w:eastAsia="Garamond" w:hAnsi="Garamond"/>
          <w:sz w:val="24"/>
          <w:szCs w:val="24"/>
        </w:rPr>
      </w:pPr>
      <w:r w:rsidDel="00000000" w:rsidR="00000000" w:rsidRPr="00000000">
        <w:rPr>
          <w:rFonts w:ascii="Garamond" w:cs="Garamond" w:eastAsia="Garamond" w:hAnsi="Garamond"/>
          <w:sz w:val="24"/>
          <w:szCs w:val="24"/>
          <w:u w:val="single"/>
          <w:rtl w:val="0"/>
        </w:rPr>
        <w:t xml:space="preserve">{{title}} {{firstname}} {{lastname}} v. {{company}}</w:t>
      </w:r>
      <w:r w:rsidDel="00000000" w:rsidR="00000000" w:rsidRPr="00000000">
        <w:rPr>
          <w:rtl w:val="0"/>
        </w:rPr>
      </w:r>
    </w:p>
    <w:p w:rsidR="00000000" w:rsidDel="00000000" w:rsidP="00000000" w:rsidRDefault="00000000" w:rsidRPr="00000000" w14:paraId="00000008">
      <w:pPr>
        <w:ind w:left="60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9">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Whom It May Concern:</w:t>
      </w:r>
    </w:p>
    <w:p w:rsidR="00000000" w:rsidDel="00000000" w:rsidP="00000000" w:rsidRDefault="00000000" w:rsidRPr="00000000" w14:paraId="0000000A">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B">
      <w:pPr>
        <w:widowControl w:val="0"/>
        <w:ind w:firstLine="9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purpose of this letter is to inform you that {{title}} {{lastname}} has retained The Law Guys regarding the mistreatment that {{pronoun}} endured as an employee of {{company}}. Specifically, {{title}} {{lastname}} is seeking to reach mutually agreeable settlement terms, in exchange for which {{pronoun}} {{verb}} willing to sign a standard release of any and all legal claims against your company. Importantly, after consulting with my client, it is clear that {{title}} {{lastname}} does, in fact, have valid legal claims against your company including, but not limited to, multiple violations of the California Labor Code. Accordingly, {{company}} is liable to {{title}} {{lastname}} for damages as detailed below. </w:t>
      </w:r>
    </w:p>
    <w:p w:rsidR="00000000" w:rsidDel="00000000" w:rsidP="00000000" w:rsidRDefault="00000000" w:rsidRPr="00000000" w14:paraId="0000000C">
      <w:pPr>
        <w:widowControl w:val="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D">
      <w:pPr>
        <w:widowControl w:val="0"/>
        <w:ind w:firstLine="9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{{title}} {{lastname}} works {{workinghours}} per scheduled shift, {{workingdays}} days per week. Accordingly, for each shift at {{company}}, {{title}} {{lastname}} {{verb}} entitled to one meal break and two rest breaks. {{violation_narrative}}</w:t>
      </w:r>
    </w:p>
    <w:p w:rsidR="00000000" w:rsidDel="00000000" w:rsidP="00000000" w:rsidRDefault="00000000" w:rsidRPr="00000000" w14:paraId="0000000E">
      <w:pPr>
        <w:widowControl w:val="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F">
      <w:pPr>
        <w:widowControl w:val="0"/>
        <w:ind w:firstLine="9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California Supreme Court in </w:t>
      </w:r>
      <w:r w:rsidDel="00000000" w:rsidR="00000000" w:rsidRPr="00000000">
        <w:rPr>
          <w:rFonts w:ascii="Garamond" w:cs="Garamond" w:eastAsia="Garamond" w:hAnsi="Garamond"/>
          <w:i w:val="1"/>
          <w:iCs w:val="1"/>
          <w:sz w:val="24"/>
          <w:szCs w:val="24"/>
          <w:rtl w:val="0"/>
        </w:rPr>
        <w:t xml:space="preserve">Naranjo v. Spectrum Security Services, Inc.</w:t>
      </w:r>
      <w:r w:rsidDel="00000000" w:rsidR="00000000" w:rsidRPr="00000000">
        <w:rPr>
          <w:rFonts w:ascii="Garamond" w:cs="Garamond" w:eastAsia="Garamond" w:hAnsi="Garamond"/>
          <w:sz w:val="24"/>
          <w:szCs w:val="24"/>
          <w:rtl w:val="0"/>
        </w:rPr>
        <w:t xml:space="preserve"> determined that unpaid break premiums constitute wages that can trigger derivative wage claims penalties. California Labor Code §512 requires an employer to give an employee a 30 minute meal break if the employee works in excess of six hours. Additionally, Industrial Welfare Commission Order No. 5-2001 (12A) requires that an employer provide its employee with a ten minute break for rest time for every four hours worked, or significant fraction thereof. California Labor Code §226.7 provides that the “employer shall pay the employee one additional hour of pay at the employee’s regular rate of compensation for each workday that the meal or rest or recovery period is not provided,” which is capped at one meal break and one rest break penalty per day. (</w:t>
      </w:r>
      <w:r w:rsidDel="00000000" w:rsidR="00000000" w:rsidRPr="00000000">
        <w:rPr>
          <w:rFonts w:ascii="Garamond" w:cs="Garamond" w:eastAsia="Garamond" w:hAnsi="Garamond"/>
          <w:i w:val="1"/>
          <w:iCs w:val="1"/>
          <w:sz w:val="24"/>
          <w:szCs w:val="24"/>
          <w:rtl w:val="0"/>
        </w:rPr>
        <w:t xml:space="preserve">Marlo v. United Parcel Service, Inc.</w:t>
      </w:r>
      <w:r w:rsidDel="00000000" w:rsidR="00000000" w:rsidRPr="00000000">
        <w:rPr>
          <w:rFonts w:ascii="Garamond" w:cs="Garamond" w:eastAsia="Garamond" w:hAnsi="Garamond"/>
          <w:sz w:val="24"/>
          <w:szCs w:val="24"/>
          <w:rtl w:val="0"/>
        </w:rPr>
        <w:t xml:space="preserve"> (2011) 639 F. 3d 942.)</w:t>
      </w:r>
    </w:p>
    <w:p w:rsidR="00000000" w:rsidDel="00000000" w:rsidP="00000000" w:rsidRDefault="00000000" w:rsidRPr="00000000" w14:paraId="00000010">
      <w:pPr>
        <w:widowControl w:val="0"/>
        <w:ind w:firstLine="96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1">
      <w:pPr>
        <w:widowControl w:val="0"/>
        <w:ind w:firstLine="9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Moreover, California Labor Code section 204 provides that payment for all wages earned by an employee during the course of {{possessive}} employment is due and payable twice each calendar month. An employer’s failure to pay wages results in a penalty of $100 for the first violation and $200 for each additional violation, plus 25% of the amount unlawfully withheld. (Cal. Labor Code § 210.) Additionally, California Labor Code section 226(a) requires employers to furnish their employees with accurate itemized statements showing the total hours worked by the employee for each pay period. Any failure to accurately furnish this information renders the employer liable for actual damages, or $50.00 for the first violation and $100.00 for each additional violation, whichever is greater.  Finally, Mr. Canales is entitled to recover reasonable costs and attorney’s fees.  (Cal. Labor Code § 218.5.)</w:t>
      </w:r>
    </w:p>
    <w:p w:rsidR="00000000" w:rsidDel="00000000" w:rsidP="00000000" w:rsidRDefault="00000000" w:rsidRPr="00000000" w14:paraId="00000012">
      <w:pPr>
        <w:widowControl w:val="0"/>
        <w:ind w:firstLine="96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3">
      <w:pPr>
        <w:widowControl w:val="0"/>
        <w:ind w:firstLine="9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{{title}} {{lastname}} is a full-time employee at {{company}} and works an average of {{workinghours}} hours per scheduled shift. Moreover, {{possessive}} rate of pay is ${{payrate}} per labor hour. Accordingly, {{company}} is liable to {{title}} {{lastname}} in the amount of ${{total_sum}}, excluding costs and fees, as detailed below:</w:t>
      </w:r>
    </w:p>
    <w:p w:rsidR="00000000" w:rsidDel="00000000" w:rsidP="00000000" w:rsidRDefault="00000000" w:rsidRPr="00000000" w14:paraId="00000014">
      <w:pPr>
        <w:widowControl w:val="0"/>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15">
      <w:pPr>
        <w:widowControl w:val="0"/>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Denied Meal Breaks: {{mealbreakshifts}} shifts at ${{payrate}}/shift = ${{mealbreak_total}}</w:t>
      </w:r>
    </w:p>
    <w:p w:rsidR="00000000" w:rsidDel="00000000" w:rsidP="00000000" w:rsidRDefault="00000000" w:rsidRPr="00000000" w14:paraId="00000016">
      <w:pPr>
        <w:widowControl w:val="0"/>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Denied Rest Breaks: {{restbreakshifts}} shifts at ${{payrate}}/shift = ${{restbreak_total}}</w:t>
      </w:r>
    </w:p>
    <w:p w:rsidR="00000000" w:rsidDel="00000000" w:rsidP="00000000" w:rsidRDefault="00000000" w:rsidRPr="00000000" w14:paraId="00000017">
      <w:pPr>
        <w:widowControl w:val="0"/>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 210 Penalties: {{num_violations}} violations = ${{violations_total}}</w:t>
      </w:r>
    </w:p>
    <w:p w:rsidR="00000000" w:rsidDel="00000000" w:rsidP="00000000" w:rsidRDefault="00000000" w:rsidRPr="00000000" w14:paraId="00000018">
      <w:pPr>
        <w:widowControl w:val="0"/>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 210 Penalties: 25% of ${{penalties_sum}} = ${{violations_percent}}</w:t>
      </w:r>
    </w:p>
    <w:p w:rsidR="00000000" w:rsidDel="00000000" w:rsidP="00000000" w:rsidRDefault="00000000" w:rsidRPr="00000000" w14:paraId="00000019">
      <w:pPr>
        <w:widowControl w:val="0"/>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Inaccurate Wage Statements: {{num_violations}} violations = ${{wage_total}}</w:t>
      </w:r>
    </w:p>
    <w:p w:rsidR="00000000" w:rsidDel="00000000" w:rsidP="00000000" w:rsidRDefault="00000000" w:rsidRPr="00000000" w14:paraId="0000001A">
      <w:pPr>
        <w:widowControl w:val="0"/>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1B">
      <w:pPr>
        <w:widowControl w:val="0"/>
        <w:ind w:firstLine="9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Importantly, {{title}} {{lastname}} would prefer to forego a protracted legal process in this matter. Instead, {{pronoun}} {{verb}} hopeful that this matter can be resolved quickly and amicably. To that end, {{title}} {{lastname}} will waive all claims against {{company}} in exchange for ${{demand_amount}} provided that you contact this office no later than {{atty_contact_date}}, to begin working toward resolving this matter. Should you fail to contact this office by that date, {{title}} {{lastname}} will seek {{possessive}} full wages, maximum penalties, and reasonable costs and attorney’s fees.</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76" w:lineRule="auto"/>
        <w:jc w:val="center"/>
        <w:rPr>
          <w:rFonts w:ascii="Garamond" w:cs="Garamond" w:eastAsia="Garamond" w:hAnsi="Garamond"/>
          <w:b w:val="1"/>
          <w:bCs w:val="1"/>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200" w:line="276" w:lineRule="auto"/>
        <w:jc w:val="center"/>
        <w:rPr>
          <w:rFonts w:ascii="Garamond" w:cs="Garamond" w:eastAsia="Garamond" w:hAnsi="Garamond"/>
          <w:b w:val="1"/>
          <w:bCs w:val="1"/>
          <w:color w:val="000000"/>
          <w:sz w:val="24"/>
          <w:szCs w:val="24"/>
        </w:rPr>
      </w:pPr>
      <w:r w:rsidDel="00000000" w:rsidR="00000000" w:rsidRPr="00000000">
        <w:rPr>
          <w:rFonts w:ascii="Garamond" w:cs="Garamond" w:eastAsia="Garamond" w:hAnsi="Garamond"/>
          <w:b w:val="1"/>
          <w:bCs w:val="1"/>
          <w:color w:val="000000"/>
          <w:sz w:val="24"/>
          <w:szCs w:val="24"/>
          <w:rtl w:val="0"/>
        </w:rPr>
        <w:t xml:space="preserve">FURTHER HANDLING</w:t>
      </w:r>
    </w:p>
    <w:p w:rsidR="00000000" w:rsidDel="00000000" w:rsidP="00000000" w:rsidRDefault="00000000" w:rsidRPr="00000000" w14:paraId="0000001E">
      <w:pPr>
        <w:tabs>
          <w:tab w:val="left" w:leader="none" w:pos="0"/>
          <w:tab w:val="left" w:leader="none" w:pos="720"/>
        </w:tabs>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letter should be treated as formal notice of my representation in this matter.  Accordingly, all future correspondence and communications regarding this matter -- including, but not limited to, the payment of wages not yet issued -- should be addressed to this office.  Please contact this office at your earliest opportunity in order to work toward an expedient resolution of this matter within the timeframe provided for above.</w:t>
      </w:r>
    </w:p>
    <w:p w:rsidR="00000000" w:rsidDel="00000000" w:rsidP="00000000" w:rsidRDefault="00000000" w:rsidRPr="00000000" w14:paraId="0000001F">
      <w:pPr>
        <w:widowControl w:val="0"/>
        <w:ind w:firstLine="96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0">
      <w:pPr>
        <w:tabs>
          <w:tab w:val="left" w:leader="none" w:pos="0"/>
          <w:tab w:val="left" w:leader="none" w:pos="720"/>
        </w:tabs>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Thank you for your anticipated prompt attention and professional courtesy in this matter. </w:t>
        <w:br w:type="textWrapping"/>
      </w:r>
    </w:p>
    <w:p w:rsidR="00000000" w:rsidDel="00000000" w:rsidP="00000000" w:rsidRDefault="00000000" w:rsidRPr="00000000" w14:paraId="00000021">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2">
      <w:pPr>
        <w:ind w:left="2880" w:firstLine="72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Respectfully,</w:t>
      </w:r>
    </w:p>
    <w:p w:rsidR="00000000" w:rsidDel="00000000" w:rsidP="00000000" w:rsidRDefault="00000000" w:rsidRPr="00000000" w14:paraId="00000023">
      <w:pPr>
        <w:ind w:left="810" w:firstLine="72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4">
      <w:pPr>
        <w:ind w:left="2880" w:right="-720" w:firstLine="720"/>
        <w:rPr>
          <w:rFonts w:ascii="Garamond" w:cs="Garamond" w:eastAsia="Garamond" w:hAnsi="Garamond"/>
          <w:sz w:val="24"/>
          <w:szCs w:val="24"/>
        </w:rPr>
      </w:pPr>
      <w:r w:rsidDel="00000000" w:rsidR="00000000" w:rsidRPr="00000000">
        <w:rPr>
          <w:rFonts w:ascii="Garamond" w:cs="Garamond" w:eastAsia="Garamond" w:hAnsi="Garamond"/>
          <w:smallCaps w:val="1"/>
          <w:sz w:val="24"/>
          <w:szCs w:val="24"/>
          <w:rtl w:val="0"/>
        </w:rPr>
        <w:t xml:space="preserve">The Law Guys, APC</w:t>
      </w:r>
      <w:r w:rsidDel="00000000" w:rsidR="00000000" w:rsidRPr="00000000">
        <w:rPr>
          <w:rtl w:val="0"/>
        </w:rPr>
      </w:r>
    </w:p>
    <w:p w:rsidR="00000000" w:rsidDel="00000000" w:rsidP="00000000" w:rsidRDefault="00000000" w:rsidRPr="00000000" w14:paraId="00000025">
      <w:pPr>
        <w:ind w:left="2880" w:right="-720" w:firstLine="72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6">
      <w:pPr>
        <w:ind w:left="810" w:firstLine="180"/>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ab/>
        <w:tab/>
        <w:tab/>
        <w:tab/>
        <w:tab/>
        <w:tab/>
        <w:tab/>
        <w:br w:type="textWrapping"/>
        <w:tab/>
        <w:tab/>
      </w:r>
      <w:r w:rsidDel="00000000" w:rsidR="00000000" w:rsidRPr="00000000">
        <w:drawing>
          <wp:anchor allowOverlap="1" behindDoc="1" distB="0" distT="0" distL="0" distR="0" hidden="0" layoutInCell="1" locked="0" relativeHeight="0" simplePos="0">
            <wp:simplePos x="0" y="0"/>
            <wp:positionH relativeFrom="column">
              <wp:posOffset>2280213</wp:posOffset>
            </wp:positionH>
            <wp:positionV relativeFrom="paragraph">
              <wp:posOffset>162045</wp:posOffset>
            </wp:positionV>
            <wp:extent cx="2731135" cy="330458"/>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31135" cy="330458"/>
                    </a:xfrm>
                    <a:prstGeom prst="rect"/>
                    <a:ln/>
                  </pic:spPr>
                </pic:pic>
              </a:graphicData>
            </a:graphic>
          </wp:anchor>
        </w:drawing>
      </w:r>
    </w:p>
    <w:p w:rsidR="00000000" w:rsidDel="00000000" w:rsidP="00000000" w:rsidRDefault="00000000" w:rsidRPr="00000000" w14:paraId="00000027">
      <w:pPr>
        <w:ind w:left="2970" w:firstLine="63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____________________________________</w:t>
      </w:r>
    </w:p>
    <w:p w:rsidR="00000000" w:rsidDel="00000000" w:rsidP="00000000" w:rsidRDefault="00000000" w:rsidRPr="00000000" w14:paraId="00000028">
      <w:pPr>
        <w:ind w:left="810" w:firstLine="720"/>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ab/>
        <w:tab/>
        <w:t xml:space="preserve">Andrew Athanassious | Attorney at Law</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firstLine="72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B">
      <w:pPr>
        <w:ind w:firstLine="720"/>
        <w:rPr/>
      </w:pPr>
      <w:r w:rsidDel="00000000" w:rsidR="00000000" w:rsidRPr="00000000">
        <w:rPr>
          <w:rFonts w:ascii="Garamond" w:cs="Garamond" w:eastAsia="Garamond" w:hAnsi="Garamond"/>
          <w:sz w:val="24"/>
          <w:szCs w:val="24"/>
          <w:rtl w:val="0"/>
        </w:rPr>
        <w:t xml:space="preserve">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type w:val="continuous"/>
      <w:pgSz w:h="15840" w:w="12240" w:orient="portrait"/>
      <w:pgMar w:bottom="1440" w:top="180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Calibri"/>
  <w:font w:name="ColaborateLight"/>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ISC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rFonts w:ascii="Calibri" w:cs="Calibri" w:eastAsia="Calibri" w:hAnsi="Calibri"/>
        <w:color w:val="000000"/>
        <w:sz w:val="24"/>
        <w:szCs w:val="24"/>
        <w:rtl w:val="0"/>
      </w:rPr>
      <w:t xml:space="preserve">Andrew Athanassious | (916) 587-1457 | legal@thelawguys.com</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320"/>
        <w:tab w:val="right" w:leader="none" w:pos="8640"/>
      </w:tabs>
      <w:spacing w:after="60" w:lineRule="auto"/>
      <w:ind w:right="360"/>
      <w:jc w:val="center"/>
      <w:rPr>
        <w:rFonts w:ascii="Cambria" w:cs="Cambria" w:eastAsia="Cambria" w:hAnsi="Cambria"/>
        <w:b w:val="1"/>
        <w:bCs w:val="1"/>
        <w:color w:val="000000"/>
        <w:sz w:val="40"/>
        <w:szCs w:val="40"/>
      </w:rPr>
    </w:pPr>
    <w:r w:rsidDel="00000000" w:rsidR="00000000" w:rsidRPr="00000000">
      <w:rPr>
        <w:rFonts w:ascii="Cambria" w:cs="Cambria" w:eastAsia="Cambria" w:hAnsi="Cambria"/>
        <w:b w:val="1"/>
        <w:bCs w:val="1"/>
        <w:color w:val="000000"/>
        <w:sz w:val="40"/>
        <w:szCs w:val="40"/>
        <w:rtl w:val="0"/>
      </w:rPr>
      <w:t xml:space="preserve">THE LAW GUYS, APC</w:t>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320"/>
        <w:tab w:val="right" w:leader="none" w:pos="8640"/>
      </w:tabs>
      <w:ind w:right="360"/>
      <w:jc w:val="center"/>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4231 Balboa Avenue #1261, San Diego, CA 92117</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320"/>
        <w:tab w:val="right" w:leader="none" w:pos="8640"/>
      </w:tabs>
      <w:ind w:right="360"/>
      <w:jc w:val="center"/>
      <w:rPr>
        <w:rFonts w:ascii="DISCO" w:cs="DISCO" w:eastAsia="DISCO" w:hAnsi="DISCO"/>
        <w:color w:val="00000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320"/>
        <w:tab w:val="right" w:leader="none" w:pos="8640"/>
      </w:tabs>
      <w:ind w:right="360"/>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Andrew Athanassious | (916) 587-1457 | legal@thelawguys.com</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320"/>
        <w:tab w:val="right" w:leader="none" w:pos="8640"/>
      </w:tabs>
      <w:ind w:right="360"/>
      <w:jc w:val="center"/>
      <w:rPr>
        <w:rFonts w:ascii="ColaborateLight" w:cs="ColaborateLight" w:eastAsia="ColaborateLight" w:hAnsi="ColaborateLight"/>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320"/>
        <w:tab w:val="right" w:leader="none" w:pos="8640"/>
      </w:tabs>
      <w:ind w:right="360"/>
      <w:jc w:val="center"/>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tl w:val="0"/>
      </w:rPr>
      <w:t xml:space="preserve">THE LAW GUYS, APC</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320"/>
        <w:tab w:val="right" w:leader="none" w:pos="8640"/>
      </w:tabs>
      <w:ind w:right="360"/>
      <w:jc w:val="center"/>
      <w:rPr>
        <w:color w:val="000000"/>
      </w:rPr>
    </w:pPr>
    <w:r w:rsidDel="00000000" w:rsidR="00000000" w:rsidRPr="00000000">
      <w:rPr>
        <w:rtl w:val="0"/>
      </w:rPr>
    </w:r>
  </w:p>
  <w:p w:rsidR="00000000" w:rsidDel="00000000" w:rsidP="00000000" w:rsidRDefault="00000000" w:rsidRPr="00000000" w14:paraId="00000037">
    <w:pPr>
      <w:jc w:val="center"/>
      <w:rPr>
        <w:rFonts w:ascii="Garamond" w:cs="Garamond" w:eastAsia="Garamond" w:hAnsi="Garamond"/>
      </w:rPr>
    </w:pPr>
    <w:r w:rsidDel="00000000" w:rsidR="00000000" w:rsidRPr="00000000">
      <w:rPr>
        <w:rFonts w:ascii="Garamond" w:cs="Garamond" w:eastAsia="Garamond" w:hAnsi="Garamond"/>
        <w:rtl w:val="0"/>
      </w:rPr>
      <w:t xml:space="preserve">{{today_date}}</w:t>
    </w:r>
  </w:p>
  <w:p w:rsidR="00000000" w:rsidDel="00000000" w:rsidP="00000000" w:rsidRDefault="00000000" w:rsidRPr="00000000" w14:paraId="00000038">
    <w:pPr>
      <w:jc w:val="center"/>
      <w:rPr>
        <w:rFonts w:ascii="Garamond" w:cs="Garamond" w:eastAsia="Garamond" w:hAnsi="Garamond"/>
      </w:rPr>
    </w:pPr>
    <w:r w:rsidDel="00000000" w:rsidR="00000000" w:rsidRPr="00000000">
      <w:rPr>
        <w:rFonts w:ascii="Garamond" w:cs="Garamond" w:eastAsia="Garamond" w:hAnsi="Garamond"/>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Garamond" w:cs="Garamond" w:eastAsia="Garamond" w:hAnsi="Garamond"/>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9">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3A">
    <w:pPr>
      <w:jc w:val="center"/>
      <w:rPr>
        <w:rFonts w:ascii="Garamond" w:cs="Garamond" w:eastAsia="Garamond" w:hAnsi="Garamond"/>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951DD0"/>
    <w:pPr>
      <w:tabs>
        <w:tab w:val="center" w:pos="4320"/>
        <w:tab w:val="right" w:pos="8640"/>
      </w:tabs>
    </w:pPr>
  </w:style>
  <w:style w:type="character" w:styleId="HeaderChar" w:customStyle="1">
    <w:name w:val="Header Char"/>
    <w:basedOn w:val="DefaultParagraphFont"/>
    <w:link w:val="Header"/>
    <w:uiPriority w:val="99"/>
    <w:rsid w:val="00951DD0"/>
    <w:rPr>
      <w:rFonts w:ascii="Times New Roman" w:cs="Times New Roman" w:eastAsia="Times New Roman" w:hAnsi="Times New Roman"/>
      <w:sz w:val="20"/>
      <w:szCs w:val="24"/>
    </w:rPr>
  </w:style>
  <w:style w:type="paragraph" w:styleId="Footer">
    <w:name w:val="footer"/>
    <w:basedOn w:val="Normal"/>
    <w:link w:val="FooterChar"/>
    <w:uiPriority w:val="99"/>
    <w:rsid w:val="00951DD0"/>
    <w:pPr>
      <w:tabs>
        <w:tab w:val="center" w:pos="4320"/>
        <w:tab w:val="right" w:pos="8640"/>
      </w:tabs>
    </w:pPr>
  </w:style>
  <w:style w:type="character" w:styleId="FooterChar" w:customStyle="1">
    <w:name w:val="Footer Char"/>
    <w:basedOn w:val="DefaultParagraphFont"/>
    <w:link w:val="Footer"/>
    <w:uiPriority w:val="99"/>
    <w:rsid w:val="00951DD0"/>
    <w:rPr>
      <w:rFonts w:ascii="Times New Roman" w:cs="Times New Roman" w:eastAsia="Times New Roman" w:hAnsi="Times New Roman"/>
      <w:sz w:val="20"/>
      <w:szCs w:val="24"/>
    </w:rPr>
  </w:style>
  <w:style w:type="paragraph" w:styleId="ListParagraph">
    <w:name w:val="List Paragraph"/>
    <w:basedOn w:val="Normal"/>
    <w:uiPriority w:val="34"/>
    <w:qFormat w:val="1"/>
    <w:rsid w:val="00951DD0"/>
    <w:pPr>
      <w:ind w:left="720"/>
      <w:contextualSpacing w:val="1"/>
    </w:pPr>
  </w:style>
  <w:style w:type="paragraph" w:styleId="BalloonText">
    <w:name w:val="Balloon Text"/>
    <w:basedOn w:val="Normal"/>
    <w:link w:val="BalloonTextChar"/>
    <w:uiPriority w:val="99"/>
    <w:semiHidden w:val="1"/>
    <w:unhideWhenUsed w:val="1"/>
    <w:rsid w:val="00951DD0"/>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51DD0"/>
    <w:rPr>
      <w:rFonts w:ascii="Tahoma" w:cs="Tahoma" w:eastAsia="Times New Roman" w:hAnsi="Tahoma"/>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4.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5+RuY1H21+WOqbFdpP0fgk+5dQ==">CgMxLjA4AHIhMVFLSkoxSEtlTFdyNzNUeEZteVNNS0NwN05pc3VGYW5T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2024-05-29T19:09:00Z</dcterms:created>
  <dc:creator>Ophir</dc:creator>
</cp:coreProperties>
</file>