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0"/>
              <w:left w:type="dxa" w:w="560"/>
              <w:bottom w:type="dxa" w:w="600"/>
              <w:right w:type="dxa" w:w="560"/>
            </w:tcMar>
          </w:tcPr>
          <w:p>
            <w:pPr>
              <w:jc w:val="center"/>
            </w:pPr>
            <w:r>
              <w:rPr>
                <w:sz w:val="52"/>
                <w:szCs w:val="52"/>
              </w:rPr>
              <w:t xml:space="preserve">🎯</w:t>
            </w:r>
          </w:p>
          <w:p>
            <w:pPr>
              <w:spacing w:before="120" w:after="80"/>
              <w:jc w:val="center"/>
            </w:pPr>
            <w:r>
              <w:rPr>
                <w:rFonts w:ascii="Arial" w:cs="Arial" w:eastAsia="Arial" w:hAnsi="Arial"/>
                <w:b/>
                <w:bCs/>
                <w:color w:val="FFFFFF"/>
                <w:sz w:val="52"/>
                <w:szCs w:val="52"/>
              </w:rPr>
              <w:t xml:space="preserve">THE GRANT CAPTURE ENGINE</w:t>
            </w:r>
          </w:p>
          <w:p>
            <w:pPr>
              <w:spacing w:before="0" w:after="60"/>
              <w:jc w:val="center"/>
            </w:pPr>
            <w:r>
              <w:rPr>
                <w:rFonts w:ascii="Arial" w:cs="Arial" w:eastAsia="Arial" w:hAnsi="Arial"/>
                <w:i/>
                <w:iCs/>
                <w:color w:val="A0AEC0"/>
                <w:sz w:val="22"/>
                <w:szCs w:val="22"/>
              </w:rPr>
              <w:t xml:space="preserve">Mission-Match Engine · 990 Funder Audit · Strategic Fit Score · Board-Ready Brief</w:t>
            </w:r>
          </w:p>
          <w:p>
            <w:pPr>
              <w:spacing w:before="80" w:after="0"/>
              <w:jc w:val="center"/>
            </w:pPr>
            <w:r>
              <w:rPr>
                <w:rFonts w:ascii="Arial" w:cs="Arial" w:eastAsia="Arial" w:hAnsi="Arial"/>
                <w:color w:val="D4A017"/>
                <w:sz w:val="20"/>
                <w:szCs w:val="20"/>
              </w:rPr>
              <w:t xml:space="preserve">Complete App Architecture, Antigravity Prompt Sequences &amp; Deliverable System</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 CORE SYSTEMS</w:t>
            </w:r>
          </w:p>
          <w:p>
            <w:pPr>
              <w:jc w:val="center"/>
            </w:pPr>
            <w:r>
              <w:rPr>
                <w:rFonts w:ascii="Arial" w:cs="Arial" w:eastAsia="Arial" w:hAnsi="Arial"/>
                <w:color w:val="B2EBE0"/>
                <w:sz w:val="18"/>
                <w:szCs w:val="18"/>
              </w:rPr>
              <w:t xml:space="preserve">Built in Antigravity</w:t>
            </w:r>
          </w:p>
        </w:tc>
        <w:tc>
          <w:tcPr>
            <w:tcBorders>
              <w:top w:val="single" w:color="14A085" w:sz="1"/>
              <w:left w:val="single" w:color="14A085" w:sz="1"/>
              <w:bottom w:val="single" w:color="14A085" w:sz="1"/>
              <w:right w:val="single" w:color="14A085" w:sz="1"/>
            </w:tcBorders>
            <w:shd w:fill="14A08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 DELIVERABLE TIERS</w:t>
            </w:r>
          </w:p>
          <w:p>
            <w:pPr>
              <w:jc w:val="center"/>
            </w:pPr>
            <w:r>
              <w:rPr>
                <w:rFonts w:ascii="Arial" w:cs="Arial" w:eastAsia="Arial" w:hAnsi="Arial"/>
                <w:color w:val="B2EBE0"/>
                <w:sz w:val="18"/>
                <w:szCs w:val="18"/>
              </w:rPr>
              <w:t xml:space="preserve">$99 / $299 / $500</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~12 WEEK BUILD</w:t>
            </w:r>
          </w:p>
          <w:p>
            <w:pPr>
              <w:jc w:val="center"/>
            </w:pPr>
            <w:r>
              <w:rPr>
                <w:rFonts w:ascii="Arial" w:cs="Arial" w:eastAsia="Arial" w:hAnsi="Arial"/>
                <w:color w:val="A0AEC0"/>
                <w:sz w:val="18"/>
                <w:szCs w:val="18"/>
              </w:rPr>
              <w:t xml:space="preserve">Full deployment</w:t>
            </w:r>
          </w:p>
        </w:tc>
        <w:tc>
          <w:tcPr>
            <w:tcBorders>
              <w:top w:val="single" w:color="D4A017" w:sz="1"/>
              <w:left w:val="single" w:color="D4A017" w:sz="1"/>
              <w:bottom w:val="single" w:color="D4A017" w:sz="1"/>
              <w:right w:val="single" w:color="D4A017" w:sz="1"/>
            </w:tcBorders>
            <w:shd w:fill="D4A017" w:val="clear"/>
            <w:tcMar>
              <w:top w:type="dxa" w:w="100"/>
              <w:left w:type="dxa" w:w="140"/>
              <w:bottom w:type="dxa" w:w="100"/>
              <w:right w:type="dxa" w:w="140"/>
            </w:tcMar>
          </w:tcPr>
          <w:p>
            <w:pPr>
              <w:jc w:val="center"/>
            </w:pPr>
            <w:r>
              <w:rPr>
                <w:rFonts w:ascii="Arial" w:cs="Arial" w:eastAsia="Arial" w:hAnsi="Arial"/>
                <w:b/>
                <w:bCs/>
                <w:color w:val="1B2A4A"/>
                <w:sz w:val="20"/>
                <w:szCs w:val="20"/>
              </w:rPr>
              <w:t xml:space="preserve">~$715K ARR</w:t>
            </w:r>
          </w:p>
          <w:p>
            <w:pPr>
              <w:jc w:val="center"/>
            </w:pPr>
            <w:r>
              <w:rPr>
                <w:rFonts w:ascii="Arial" w:cs="Arial" w:eastAsia="Arial" w:hAnsi="Arial"/>
                <w:color w:val="1B2A4A"/>
                <w:sz w:val="18"/>
                <w:szCs w:val="18"/>
              </w:rPr>
              <w:t xml:space="preserve">Year 1 target potential</w:t>
            </w:r>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1</w:t>
            </w:r>
          </w:p>
          <w:p>
            <w:r>
              <w:rPr>
                <w:rFonts w:ascii="Arial" w:cs="Arial" w:eastAsia="Arial" w:hAnsi="Arial"/>
                <w:color w:val="A0AEC0"/>
                <w:sz w:val="20"/>
                <w:szCs w:val="20"/>
              </w:rPr>
              <w:t xml:space="preserve">System Overview &amp; Strategic Philosophy</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The Grant Capture Engine — System Overview</w:t>
      </w:r>
    </w:p>
    <w:p>
      <w:pPr>
        <w:spacing w:before="60" w:after="60"/>
      </w:pPr>
      <w:r>
        <w:rPr>
          <w:rFonts w:ascii="Arial" w:cs="Arial" w:eastAsia="Arial" w:hAnsi="Arial"/>
          <w:b w:val="false"/>
          <w:bCs w:val="false"/>
          <w:i w:val="false"/>
          <w:iCs w:val="false"/>
          <w:color w:val="4A5568"/>
          <w:sz w:val="22"/>
          <w:szCs w:val="22"/>
        </w:rPr>
        <w:t xml:space="preserve">The Grant Capture Engine is not a newsletter. It is a fundraising intelligence platform that uses the newsletter as its front-end delivery mechanism. The distinction matters: subscribers are not paying for content. They are paying for a continuously operating intelligence system that works on their behalf 24/7, surfaces opportunities they would never find manually, and packages those opportunities in a format their board can act on immediately.</w:t>
      </w:r>
    </w:p>
    <w:p>
      <w:pPr>
        <w:spacing w:before="80" w:after="0"/>
      </w:pPr>
    </w:p>
    <w:p>
      <w:pPr>
        <w:spacing w:before="60" w:after="60"/>
      </w:pPr>
      <w:r>
        <w:rPr>
          <w:rFonts w:ascii="Arial" w:cs="Arial" w:eastAsia="Arial" w:hAnsi="Arial"/>
          <w:b w:val="false"/>
          <w:bCs w:val="false"/>
          <w:i w:val="false"/>
          <w:iCs w:val="false"/>
          <w:color w:val="4A5568"/>
          <w:sz w:val="22"/>
          <w:szCs w:val="22"/>
        </w:rPr>
        <w:t xml:space="preserve">At its core, the system is built on four interconnected agents operating inside Antigravity, each feeding into the next in a data pipeline that runs automatically and delivers structured outputs on a defined weekly and monthly cadence.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The Positioning: You are not a newsletter writer. You are running a Private Fundraising Intelligence Network — essentially a Development Director-as-a-Service at 1.3% of the cost.</w:t>
            </w:r>
          </w:p>
        </w:tc>
      </w:tr>
    </w:tbl>
    <w:p>
      <w:pPr>
        <w:spacing w:before="200" w:after="0"/>
      </w:pPr>
    </w:p>
    <w:p>
      <w:pPr>
        <w:pStyle w:val="Heading2"/>
        <w:spacing w:before="320" w:after="120"/>
      </w:pPr>
      <w:r>
        <w:rPr>
          <w:rFonts w:ascii="Arial" w:cs="Arial" w:eastAsia="Arial" w:hAnsi="Arial"/>
          <w:b/>
          <w:bCs/>
          <w:color w:val="0D7377"/>
          <w:sz w:val="28"/>
          <w:szCs w:val="28"/>
        </w:rPr>
        <w:t xml:space="preserve">The Four 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OUTPUT</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20"/>
                <w:szCs w:val="20"/>
              </w:rPr>
              <w:t xml:space="preserve">Mission-Match Engine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20"/>
                <w:szCs w:val="20"/>
              </w:rPr>
              <w:t xml:space="preserve">Scans 1,000+ foundation databases and cross-references against subscriber org profile to surface high-relevance grant opportunities in real time.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1B2A4A"/>
                <w:sz w:val="20"/>
                <w:szCs w:val="20"/>
              </w:rPr>
              <w:t xml:space="preserve">3–5 curated weekly grant alerts per subscriber segment</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20"/>
                <w:szCs w:val="20"/>
              </w:rPr>
              <w:t xml:space="preserve">990 Funder Audit</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Analyzes IRS 990 tax filings of foundations to identify underspending foundations with 'Hidden Liquidity' — those legally required to give more before their fiscal year closes.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20"/>
                <w:szCs w:val="20"/>
              </w:rPr>
              <w:t xml:space="preserve">Hidden liquidity alerts + funder urgency scores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20"/>
                <w:szCs w:val="20"/>
              </w:rPr>
              <w:t xml:space="preserve">Strategic Fit Score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20"/>
                <w:szCs w:val="20"/>
              </w:rPr>
              <w:t xml:space="preserve">Scores each grant match on 8 weighted criteria (mission alignment, org size, geography, deadline urgency, funder history, budget fit, program type, and competitive density).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1B2A4A"/>
                <w:sz w:val="20"/>
                <w:szCs w:val="20"/>
              </w:rPr>
              <w:t xml:space="preserve">0–100 Fit Score with rationale per grant</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20"/>
                <w:szCs w:val="20"/>
              </w:rPr>
              <w:t xml:space="preserve">Board-Ready Brief</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Auto-assembles a formatted PDF briefing each quarter synthesizing sector trends, top grants, funder landscape shifts, and strategic recommendations the ED can present directly to their board.</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20"/>
                <w:szCs w:val="20"/>
              </w:rPr>
              <w:t xml:space="preserve">Quarterly PDF report, auto-generated and delivered</w:t>
            </w:r>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2</w:t>
            </w:r>
          </w:p>
          <w:p>
            <w:r>
              <w:rPr>
                <w:rFonts w:ascii="Arial" w:cs="Arial" w:eastAsia="Arial" w:hAnsi="Arial"/>
                <w:color w:val="A0AEC0"/>
                <w:sz w:val="20"/>
                <w:szCs w:val="20"/>
              </w:rPr>
              <w:t xml:space="preserve">App Architecture: Data In → Agent Logic → User Output</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Full App Architecture Map</w:t>
      </w:r>
    </w:p>
    <w:p>
      <w:pPr>
        <w:spacing w:before="60" w:after="60"/>
      </w:pPr>
      <w:r>
        <w:rPr>
          <w:rFonts w:ascii="Arial" w:cs="Arial" w:eastAsia="Arial" w:hAnsi="Arial"/>
          <w:b w:val="false"/>
          <w:bCs w:val="false"/>
          <w:i w:val="false"/>
          <w:iCs w:val="false"/>
          <w:color w:val="4A5568"/>
          <w:sz w:val="22"/>
          <w:szCs w:val="22"/>
        </w:rPr>
        <w:t xml:space="preserve">This is the complete technical pipeline from raw data inputs through agent processing to subscriber-facing outputs. Use this as your Antigravity build blueprint.</w:t>
      </w:r>
    </w:p>
    <w:p>
      <w:pPr>
        <w:spacing w:before="120" w:after="0"/>
      </w:pPr>
    </w:p>
    <w:p>
      <w:pPr>
        <w:pStyle w:val="Heading2"/>
        <w:spacing w:before="320" w:after="120"/>
      </w:pPr>
      <w:r>
        <w:rPr>
          <w:rFonts w:ascii="Arial" w:cs="Arial" w:eastAsia="Arial" w:hAnsi="Arial"/>
          <w:b/>
          <w:bCs/>
          <w:color w:val="0D7377"/>
          <w:sz w:val="28"/>
          <w:szCs w:val="28"/>
        </w:rPr>
        <w:t xml:space="preserve">LAYER 1 — Data Inputs (What the Agents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IS EXTRACTED</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AGENT METHOD</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IRS 990 Filings (ProPublica Nonprofit Explorer API)</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Payout history, underspent years, program focus areas, geographic giving, grantee counts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0D7377"/>
                <w:sz w:val="19"/>
                <w:szCs w:val="19"/>
              </w:rPr>
              <w:t xml:space="preserve">API call + structured JSON parser</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Foundation Websites (10–50 targets)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Active RFPs, deadlines, priority areas, letter of intent requirements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0D7377"/>
                <w:sz w:val="19"/>
                <w:szCs w:val="19"/>
              </w:rPr>
              <w:t xml:space="preserve">Browser-in-the-Loop agent — navigates pages like a human researcher</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Candid / GrantStation Feeds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New grants posted, deadline changes, funder news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0D7377"/>
                <w:sz w:val="19"/>
                <w:szCs w:val="19"/>
              </w:rPr>
              <w:t xml:space="preserve">RSS + structured scraper agent</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Arizona Nonprofit Association / State Association Feeds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Regional opportunities, capacity-building grants, state-specific funding</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0D7377"/>
                <w:sz w:val="19"/>
                <w:szCs w:val="19"/>
              </w:rPr>
              <w:t xml:space="preserve">Scheduled scraper — daily pull</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Subscriber Org Profile (Onboarding Form)</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Mission statement, NTEE code, budget size, geographic focus, program types, staff count</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0D7377"/>
                <w:sz w:val="19"/>
                <w:szCs w:val="19"/>
              </w:rPr>
              <w:t xml:space="preserve">One-time intake → stored in Supabase as subscriber record</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EDGAR / State Charity Registrations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Foundation registration status, fiscal year end dates, board composition changes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0D7377"/>
                <w:sz w:val="19"/>
                <w:szCs w:val="19"/>
              </w:rPr>
              <w:t xml:space="preserve">Periodic API + browser agent for states without APIs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Google News (Sector-Specific)</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Funder announcements, new philanthropic initiatives, donor trend signals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0D7377"/>
                <w:sz w:val="19"/>
                <w:szCs w:val="19"/>
              </w:rPr>
              <w:t xml:space="preserve">Google News RSS filtered by keyword and funder name</w:t>
            </w:r>
          </w:p>
        </w:tc>
      </w:tr>
    </w:tbl>
    <w:p>
      <w:pPr>
        <w:spacing w:before="240" w:after="0"/>
      </w:pPr>
    </w:p>
    <w:p>
      <w:pPr>
        <w:pStyle w:val="Heading2"/>
        <w:spacing w:before="320" w:after="120"/>
      </w:pPr>
      <w:r>
        <w:rPr>
          <w:rFonts w:ascii="Arial" w:cs="Arial" w:eastAsia="Arial" w:hAnsi="Arial"/>
          <w:b/>
          <w:bCs/>
          <w:color w:val="0D7377"/>
          <w:sz w:val="28"/>
          <w:szCs w:val="28"/>
        </w:rPr>
        <w:t xml:space="preserve">LAYER 2 — Agent Logic (What the Agents Do)</w:t>
      </w:r>
    </w:p>
    <w:p>
      <w:pPr>
        <w:pStyle w:val="Heading3"/>
        <w:spacing w:before="240" w:after="80"/>
      </w:pPr>
      <w:r>
        <w:rPr>
          <w:rFonts w:ascii="Arial" w:cs="Arial" w:eastAsia="Arial" w:hAnsi="Arial"/>
          <w:b/>
          <w:bCs/>
          <w:color w:val="4A5568"/>
          <w:sz w:val="24"/>
          <w:szCs w:val="24"/>
        </w:rPr>
        <w:t xml:space="preserve">Agent 1 — The Intake &amp; Profiling Agent</w:t>
      </w:r>
    </w:p>
    <w:p>
      <w:pPr>
        <w:spacing w:before="60" w:after="60"/>
      </w:pPr>
      <w:r>
        <w:rPr>
          <w:rFonts w:ascii="Arial" w:cs="Arial" w:eastAsia="Arial" w:hAnsi="Arial"/>
          <w:b w:val="false"/>
          <w:bCs w:val="false"/>
          <w:i w:val="false"/>
          <w:iCs w:val="false"/>
          <w:color w:val="4A5568"/>
          <w:sz w:val="22"/>
          <w:szCs w:val="22"/>
        </w:rPr>
        <w:t xml:space="preserve">Triggered once when a new subscriber completes their onboarding form. This agent reads the org profile, classifies the org by NTEE code, geographic area, and budget tier, then writes a structured subscriber_profile record to Supabase. This record is referenced by every downstream agent.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Antigravity Prompt Sequence — Agent 1:
"Create a Python intake agent that accepts a JSON form submission containing: org_name, mission_statement, ntee_code, annual_budget, primary_geo, program_types (array), and staff_count. Validate and normalize all fields. Classify the org into one of 5 budget tiers (&lt;$100K, $100K–$500K, $500K–$1M, $1M–$5M, $5M+). Write the structured record to Supabase table 'subscriber_profiles'. Return a confirmation payload with the assigned profile_id and tier classification."</w:t>
            </w:r>
          </w:p>
        </w:tc>
      </w:tr>
    </w:tbl>
    <w:p>
      <w:pPr>
        <w:spacing w:before="160" w:after="0"/>
      </w:pPr>
    </w:p>
    <w:p>
      <w:pPr>
        <w:pStyle w:val="Heading3"/>
        <w:spacing w:before="240" w:after="80"/>
      </w:pPr>
      <w:r>
        <w:rPr>
          <w:rFonts w:ascii="Arial" w:cs="Arial" w:eastAsia="Arial" w:hAnsi="Arial"/>
          <w:b/>
          <w:bCs/>
          <w:color w:val="4A5568"/>
          <w:sz w:val="24"/>
          <w:szCs w:val="24"/>
        </w:rPr>
        <w:t xml:space="preserve">Agent 2 — The Mission-Match Engine</w:t>
      </w:r>
    </w:p>
    <w:p>
      <w:pPr>
        <w:spacing w:before="60" w:after="60"/>
      </w:pPr>
      <w:r>
        <w:rPr>
          <w:rFonts w:ascii="Arial" w:cs="Arial" w:eastAsia="Arial" w:hAnsi="Arial"/>
          <w:b w:val="false"/>
          <w:bCs w:val="false"/>
          <w:i w:val="false"/>
          <w:iCs w:val="false"/>
          <w:color w:val="4A5568"/>
          <w:sz w:val="22"/>
          <w:szCs w:val="22"/>
        </w:rPr>
        <w:t xml:space="preserve">Runs daily. Pulls new grant opportunities from all data sources and compares each against all subscriber_profiles in the database using semantic similarity (embedding match on mission statement vs. grant description) plus hard filters (geography, budget range, NTEE code). Only surfaces grants above a 60% raw match threshold before scoring.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Antigravity Prompt Sequence — Agent 2:
"Build a Python grant-matching agent. Step 1: Pull all new grant records from the grants_raw table added in the last 24 hours. Step 2: For each grant, load all subscriber profiles from Supabase. Step 3: Calculate semantic similarity between grant.description and profile.mission_statement using sentence-transformers (all-MiniLM-L6-v2). Step 4: Apply hard filters — reject if grant.geo != profile.primary_geo and grant.geo != 'national'. Reject if grant.max_award &lt; profile.budget_tier_minimum * 0.05. Step 5: Write all matches scoring above 0.60 cosine similarity to the grant_matches table with subscriber_id, grant_id, and raw_similarity_score. Run on a daily cron schedule at 6AM."</w:t>
            </w:r>
          </w:p>
        </w:tc>
      </w:tr>
    </w:tbl>
    <w:p>
      <w:pPr>
        <w:spacing w:before="160" w:after="0"/>
      </w:pPr>
    </w:p>
    <w:p>
      <w:pPr>
        <w:pStyle w:val="Heading3"/>
        <w:spacing w:before="240" w:after="80"/>
      </w:pPr>
      <w:r>
        <w:rPr>
          <w:rFonts w:ascii="Arial" w:cs="Arial" w:eastAsia="Arial" w:hAnsi="Arial"/>
          <w:b/>
          <w:bCs/>
          <w:color w:val="4A5568"/>
          <w:sz w:val="24"/>
          <w:szCs w:val="24"/>
        </w:rPr>
        <w:t xml:space="preserve">Agent 3 — The Strategic Fit Score Agent</w:t>
      </w:r>
    </w:p>
    <w:p>
      <w:pPr>
        <w:spacing w:before="60" w:after="60"/>
      </w:pPr>
      <w:r>
        <w:rPr>
          <w:rFonts w:ascii="Arial" w:cs="Arial" w:eastAsia="Arial" w:hAnsi="Arial"/>
          <w:b w:val="false"/>
          <w:bCs w:val="false"/>
          <w:i w:val="false"/>
          <w:iCs w:val="false"/>
          <w:color w:val="4A5568"/>
          <w:sz w:val="22"/>
          <w:szCs w:val="22"/>
        </w:rPr>
        <w:t xml:space="preserve">Runs after Agent 2 completes. Takes all new grant_matches and runs each through an 8-factor scoring model to produce the final Strategic Fit Score (0–100). This is the core intelligence layer — it transforms a raw similarity match into a board-presentable recommendation with rationale.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SCORING DIMENSION</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SCORING LOGIC</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Mission Alignment</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25%</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Semantic similarity score — primary factor from Agent 2 embedding match</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Budget Fit</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20%</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Grant award range vs. org budget tier — penalizes mismatches in both directions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Geographic Match</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15%</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Exact state match = 100pts; Regional match = 70pts; National = 50pts</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Deadline Urgency</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10%</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Grants closing within 30 days score higher — creates weekly action priority</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Funder Grant History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10%</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990 analysis — has this funder given to similar orgs before? In what size?</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Program Type Match</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10%</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Matches grant program areas against org's program_types array</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Competitive Density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5%</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Estimated number of eligible orgs in region — lower = higher score</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Funder Liquidity Signal</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D4A017"/>
                <w:sz w:val="19"/>
                <w:szCs w:val="19"/>
              </w:rPr>
              <w:t xml:space="preserve">5%</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990 underspend flag — foundations behind on 5% payout requirement score +10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Antigravity Prompt Sequence — Agent 3:
"Build a scoring agent in Python that reads all unscored records from grant_matches. For each record, retrieve the full grant details and subscriber profile. Calculate a weighted composite score using these 8 dimensions: (1) mission_alignment * 0.25, (2) budget_fit_score * 0.20, (3) geo_match_score * 0.15, (4) deadline_urgency_score * 0.10, (5) funder_history_score * 0.10, (6) program_type_overlap * 0.10, (7) competitive_density_score * 0.05, (8) liquidity_signal * 0.05. Generate a plain-English rationale string explaining the top 3 score drivers. Write the final_score, score_breakdown JSON, and rationale to the grant_matches table. Flag any match scoring above 85 as high_priority = true."</w:t>
            </w:r>
          </w:p>
        </w:tc>
      </w:tr>
    </w:tbl>
    <w:p>
      <w:pPr>
        <w:spacing w:before="160" w:after="0"/>
      </w:pPr>
    </w:p>
    <w:p>
      <w:pPr>
        <w:pStyle w:val="Heading3"/>
        <w:spacing w:before="240" w:after="80"/>
      </w:pPr>
      <w:r>
        <w:rPr>
          <w:rFonts w:ascii="Arial" w:cs="Arial" w:eastAsia="Arial" w:hAnsi="Arial"/>
          <w:b/>
          <w:bCs/>
          <w:color w:val="4A5568"/>
          <w:sz w:val="24"/>
          <w:szCs w:val="24"/>
        </w:rPr>
        <w:t xml:space="preserve">Agent 4 — The 990 Funder Audit Agent</w:t>
      </w:r>
    </w:p>
    <w:p>
      <w:pPr>
        <w:spacing w:before="60" w:after="60"/>
      </w:pPr>
      <w:r>
        <w:rPr>
          <w:rFonts w:ascii="Arial" w:cs="Arial" w:eastAsia="Arial" w:hAnsi="Arial"/>
          <w:b w:val="false"/>
          <w:bCs w:val="false"/>
          <w:i w:val="false"/>
          <w:iCs w:val="false"/>
          <w:color w:val="4A5568"/>
          <w:sz w:val="22"/>
          <w:szCs w:val="22"/>
        </w:rPr>
        <w:t xml:space="preserve">Runs weekly (Sundays). Pulls IRS 990 data via ProPublica API for all foundations in the tracked funder database. Calculates each foundation's 5% minimum distribution requirement vs. actual distributions made. Flags any foundation that is underdistributed by more than $50,000 in the current fiscal year as a 'Hidden Liquidity' alert — these funders have a legal and practical incentive to make additional grants before their fiscal year closes.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Antigravity Prompt Sequence — Agent 4:
"Build a Python 990 analysis agent. Step 1: For each foundation in the tracked_funders table, call the ProPublica Nonprofit Explorer API endpoint /api/v2/organizations/{ein}/filings and retrieve the most recent fiscal year 990 data. Step 2: Extract: total_assets, total_distributions, fiscal_year_end. Step 3: Calculate required_distribution = total_assets * 0.05. Calculate underspend_gap = required_distribution - total_distributions. Step 4: If underspend_gap &gt; 50000 AND fiscal_year_end is within 120 days, flag as hidden_liquidity = true and write a liquidity_alert record with funder_name, gap_amount, days_remaining, and recommended_action text. Step 5: Email alert digest to internal admin for review before publishing. Run weekly on Sunday at 2AM."</w:t>
            </w:r>
          </w:p>
        </w:tc>
      </w:tr>
    </w:tbl>
    <w:p>
      <w:pPr>
        <w:spacing w:before="240" w:after="0"/>
      </w:pPr>
    </w:p>
    <w:p>
      <w:pPr>
        <w:pStyle w:val="Heading2"/>
        <w:spacing w:before="320" w:after="120"/>
      </w:pPr>
      <w:r>
        <w:rPr>
          <w:rFonts w:ascii="Arial" w:cs="Arial" w:eastAsia="Arial" w:hAnsi="Arial"/>
          <w:b/>
          <w:bCs/>
          <w:color w:val="0D7377"/>
          <w:sz w:val="28"/>
          <w:szCs w:val="28"/>
        </w:rPr>
        <w:t xml:space="preserve">LAYER 3 — User Outputs (What Subscribers Receive)</w:t>
      </w:r>
    </w:p>
    <w:p>
      <w:pPr>
        <w:spacing w:before="60" w:after="60"/>
      </w:pPr>
      <w:r>
        <w:rPr>
          <w:rFonts w:ascii="Arial" w:cs="Arial" w:eastAsia="Arial" w:hAnsi="Arial"/>
          <w:b w:val="false"/>
          <w:bCs w:val="false"/>
          <w:i w:val="false"/>
          <w:iCs w:val="false"/>
          <w:color w:val="4A5568"/>
          <w:sz w:val="22"/>
          <w:szCs w:val="22"/>
        </w:rPr>
        <w:t xml:space="preserve">Every output from the agent pipeline is routed to one of three delivery channels depending on subscriber tier and content type. These channels are: the weekly newsletter email, the subscriber dashboard (web portal), and quarterly Board-Ready Brief PDF.</w:t>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3</w:t>
            </w:r>
          </w:p>
          <w:p>
            <w:r>
              <w:rPr>
                <w:rFonts w:ascii="Arial" w:cs="Arial" w:eastAsia="Arial" w:hAnsi="Arial"/>
                <w:color w:val="A0AEC0"/>
                <w:sz w:val="20"/>
                <w:szCs w:val="20"/>
              </w:rPr>
              <w:t xml:space="preserve">Cadence Schedule — Weekly, Monthly &amp; Quarterly</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Operating Cadence</w:t>
      </w:r>
    </w:p>
    <w:p>
      <w:pPr>
        <w:spacing w:before="60" w:after="60"/>
      </w:pPr>
      <w:r>
        <w:rPr>
          <w:rFonts w:ascii="Arial" w:cs="Arial" w:eastAsia="Arial" w:hAnsi="Arial"/>
          <w:b w:val="false"/>
          <w:bCs w:val="false"/>
          <w:i w:val="false"/>
          <w:iCs w:val="false"/>
          <w:color w:val="4A5568"/>
          <w:sz w:val="22"/>
          <w:szCs w:val="22"/>
        </w:rPr>
        <w:t xml:space="preserve">The system operates on a layered cadence designed to create consistent touchpoints without overwhelming subscribers. The weekly newsletter is the core habit-forming delivery. The dashboard is the always-on utility tool. The quarterly brief is the high-perceived-value premium deliverable.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TASK</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AGENT ACTION</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SUBSCRIBER TOUCH</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MON–SUN</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Daily Continuous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Mission-Match Engine scans all new grant postings; 990 Agent monitors for new fiscal year end filings; Grant matches scored in real-time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val="false"/>
                <w:bCs w:val="false"/>
                <w:color w:val="718096"/>
                <w:sz w:val="19"/>
                <w:szCs w:val="19"/>
              </w:rPr>
              <w:t xml:space="preserve">Dashboard updates live</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SUNDAY</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Weekly 990 Audit Run</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Full audit of all tracked funders' payout ratios. Generates hidden liquidity flags for the week.</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val="false"/>
                <w:bCs w:val="false"/>
                <w:color w:val="718096"/>
                <w:sz w:val="19"/>
                <w:szCs w:val="19"/>
              </w:rPr>
              <w:t xml:space="preserve">None (backend processing only)</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TUESDAY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Newsletter Assembly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Antigravity agent pulls top-scored grants from past 7 days. Formats weekly alert digest. Drafts Sector Pulse section.</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val="false"/>
                <w:bCs w:val="false"/>
                <w:color w:val="718096"/>
                <w:sz w:val="19"/>
                <w:szCs w:val="19"/>
              </w:rPr>
              <w:t xml:space="preserve">None (assembly day)</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WEDNESDAY</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Newsletter Review</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You review agent output. Add editorial voice, verify any compliance-sensitive content, approve Hidden Liquidity alerts.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val="false"/>
                <w:bCs w:val="false"/>
                <w:color w:val="718096"/>
                <w:sz w:val="19"/>
                <w:szCs w:val="19"/>
              </w:rPr>
              <w:t xml:space="preserve">None (your review day)</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THURSDAY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Weekly Newsletter Publish</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Newsletter delivers to all subscribers via Beehiiv. Dashboard refreshes weekly 'Hot Grants' module.</w:t>
            </w:r>
          </w:p>
        </w:tc>
        <w:tc>
          <w:tcPr>
            <w:tcBorders>
              <w:top w:val="single" w:color="CBD5E0" w:sz="1"/>
              <w:left w:val="single" w:color="CBD5E0" w:sz="1"/>
              <w:bottom w:val="single" w:color="CBD5E0" w:sz="1"/>
              <w:right w:val="single" w:color="CBD5E0" w:sz="1"/>
            </w:tcBorders>
            <w:shd w:fill="FDF6E3" w:val="clear"/>
            <w:tcMar>
              <w:top w:type="dxa" w:w="100"/>
              <w:left w:type="dxa" w:w="140"/>
              <w:bottom w:type="dxa" w:w="100"/>
              <w:right w:type="dxa" w:w="140"/>
            </w:tcMar>
          </w:tcPr>
          <w:p>
            <w:r>
              <w:rPr>
                <w:rFonts w:ascii="Arial" w:cs="Arial" w:eastAsia="Arial" w:hAnsi="Arial"/>
                <w:b/>
                <w:bCs/>
                <w:color w:val="D4A017"/>
                <w:sz w:val="19"/>
                <w:szCs w:val="19"/>
              </w:rPr>
              <w:t xml:space="preserve">EMAIL DELIVERY + Dashboard update</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FRIDAY</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LinkedIn Content Drop</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One non-gated tip from the week's research posted to LinkedIn. Links to free newsletter signup.</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val="false"/>
                <w:bCs w:val="false"/>
                <w:color w:val="718096"/>
                <w:sz w:val="19"/>
                <w:szCs w:val="19"/>
              </w:rPr>
              <w:t xml:space="preserve">Public — growth engine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Borders>
              <w:top w:val="single" w:color="14A085" w:sz="1"/>
              <w:left w:val="single" w:color="14A085" w:sz="1"/>
              <w:bottom w:val="single" w:color="14A085" w:sz="1"/>
              <w:right w:val="single" w:color="14A085" w:sz="1"/>
            </w:tcBorders>
            <w:shd w:fill="14A085" w:val="clear"/>
            <w:tcMar>
              <w:top w:type="dxa" w:w="100"/>
              <w:left w:type="dxa" w:w="140"/>
              <w:bottom w:type="dxa" w:w="100"/>
              <w:right w:type="dxa" w:w="140"/>
            </w:tcMar>
          </w:tcPr>
          <w:p>
            <w:r>
              <w:rPr>
                <w:rFonts w:ascii="Arial" w:cs="Arial" w:eastAsia="Arial" w:hAnsi="Arial"/>
                <w:b/>
                <w:bCs/>
                <w:color w:val="FFFFFF"/>
                <w:sz w:val="20"/>
                <w:szCs w:val="20"/>
              </w:rPr>
              <w:t xml:space="preserve">MONTHLY TASK</w:t>
            </w:r>
          </w:p>
        </w:tc>
        <w:tc>
          <w:tcPr>
            <w:tcBorders>
              <w:top w:val="single" w:color="14A085" w:sz="1"/>
              <w:left w:val="single" w:color="14A085" w:sz="1"/>
              <w:bottom w:val="single" w:color="14A085" w:sz="1"/>
              <w:right w:val="single" w:color="14A085" w:sz="1"/>
            </w:tcBorders>
            <w:shd w:fill="14A085"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Borders>
              <w:top w:val="single" w:color="14A085" w:sz="1"/>
              <w:left w:val="single" w:color="14A085" w:sz="1"/>
              <w:bottom w:val="single" w:color="14A085" w:sz="1"/>
              <w:right w:val="single" w:color="14A085" w:sz="1"/>
            </w:tcBorders>
            <w:shd w:fill="14A085" w:val="clear"/>
            <w:tcMar>
              <w:top w:type="dxa" w:w="100"/>
              <w:left w:type="dxa" w:w="140"/>
              <w:bottom w:type="dxa" w:w="100"/>
              <w:right w:type="dxa" w:w="140"/>
            </w:tcMar>
          </w:tcPr>
          <w:p>
            <w:r>
              <w:rPr>
                <w:rFonts w:ascii="Arial" w:cs="Arial" w:eastAsia="Arial" w:hAnsi="Arial"/>
                <w:b/>
                <w:bCs/>
                <w:color w:val="FFFFFF"/>
                <w:sz w:val="20"/>
                <w:szCs w:val="20"/>
              </w:rPr>
              <w:t xml:space="preserve">SUBSCRIBER DELIVERABLE</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Month-End Grant Digest</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Agent compiles all grants surfaced this month with final Fit Scores. Filters for any deadlines approaching in next 30 days.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1B2A4A"/>
                <w:sz w:val="19"/>
                <w:szCs w:val="19"/>
              </w:rPr>
              <w:t xml:space="preserve">Special 'Month-End Alert' email to Tier 1+ subscribers with prioritized action list</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Funder Landscape Update</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Agent refreshes foundation profiles — new 990 filings, board changes, program priority shifts from website monitoring.</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B2A4A"/>
                <w:sz w:val="19"/>
                <w:szCs w:val="19"/>
              </w:rPr>
              <w:t xml:space="preserve">Dashboard 'Funder Watch' module update + email notification for major changes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Drafting Kit Delivery</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For Tier 2 subscribers: agent generates one 'Drafting Kit' per month for the highest-scoring grant — includes strategic narrative, key talking points, budget framing guide.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1B2A4A"/>
                <w:sz w:val="19"/>
                <w:szCs w:val="19"/>
              </w:rPr>
              <w:t xml:space="preserve">Secure download link in member portal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Quarterly Deliverable (Tier 2 &amp; Board Brief Purchasers): Board-Ready Brief PDF — auto-generated by Antigravity agents. Compiles sector trends, top 10 grant opportunities, funder landscape shifts, and 3 strategic funding recommendations. Formatted for direct board presentation. Delivered first week of each quarter.</w:t>
            </w:r>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4</w:t>
            </w:r>
          </w:p>
          <w:p>
            <w:r>
              <w:rPr>
                <w:rFonts w:ascii="Arial" w:cs="Arial" w:eastAsia="Arial" w:hAnsi="Arial"/>
                <w:color w:val="A0AEC0"/>
                <w:sz w:val="20"/>
                <w:szCs w:val="20"/>
              </w:rPr>
              <w:t xml:space="preserve">Visual Deliverables &amp; Website Tool Architecture</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Website Architecture — Where Each Tool Lives</w:t>
      </w:r>
    </w:p>
    <w:p>
      <w:pPr>
        <w:spacing w:before="60" w:after="60"/>
      </w:pPr>
      <w:r>
        <w:rPr>
          <w:rFonts w:ascii="Arial" w:cs="Arial" w:eastAsia="Arial" w:hAnsi="Arial"/>
          <w:b w:val="false"/>
          <w:bCs w:val="false"/>
          <w:i w:val="false"/>
          <w:iCs w:val="false"/>
          <w:color w:val="4A5568"/>
          <w:sz w:val="22"/>
          <w:szCs w:val="22"/>
        </w:rPr>
        <w:t xml:space="preserve">Your website is not a brochure site. It is the portal through which subscribers access the tools. The architecture has four zones: the public-facing homepage (growth/conversion), the free subscriber zone (newsletter archive + one free tool), the paid member dashboard (all tools), and the document vault (auto-generated PDFs).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SITE ZONE</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ACCESS LEVEL</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TOOLS / FEATURES</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BUILD TECH</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Public Homepage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D4A017"/>
                <w:sz w:val="19"/>
                <w:szCs w:val="19"/>
              </w:rPr>
              <w:t xml:space="preserve">Anyone</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Grant stats ticker, sample Fit Score demo (no real data), newsletter signup</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1B2A4A"/>
                <w:sz w:val="19"/>
                <w:szCs w:val="19"/>
              </w:rPr>
              <w:t xml:space="preserve">Next.js + Beehiiv embed</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Free Tier Zone</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D4A017"/>
                <w:sz w:val="19"/>
                <w:szCs w:val="19"/>
              </w:rPr>
              <w:t xml:space="preserve">Email subscriber</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Newsletter archive, 'Grant Radar' sample view (weekly top 3, no Fit Scores), one free Drafting Tip</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19"/>
                <w:szCs w:val="19"/>
              </w:rPr>
              <w:t xml:space="preserve">Beehiiv gated posts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Paid Member Dashboard</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D4A017"/>
                <w:sz w:val="19"/>
                <w:szCs w:val="19"/>
              </w:rPr>
              <w:t xml:space="preserve">Tier 1 &amp; 2 subscribers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Full Mission-Match feed, Fit Score breakdowns, Hidden Liquidity alerts, funder profiles, Drafting Kits</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1B2A4A"/>
                <w:sz w:val="19"/>
                <w:szCs w:val="19"/>
              </w:rPr>
              <w:t xml:space="preserve">React app hosted on Vercel, Supabase backend, auth via Clerk</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Document Vault</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D4A017"/>
                <w:sz w:val="19"/>
                <w:szCs w:val="19"/>
              </w:rPr>
              <w:t xml:space="preserve">Tier 2 + Board Brief buyers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Downloadable Board-Ready Briefs, custom grant match reports, sector trend PDFs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19"/>
                <w:szCs w:val="19"/>
              </w:rPr>
              <w:t xml:space="preserve">Supabase Storage + signed URLs, PDF auto-generated by AG agents</w:t>
            </w:r>
          </w:p>
        </w:tc>
      </w:tr>
    </w:tbl>
    <w:p>
      <w:pPr>
        <w:spacing w:before="240" w:after="0"/>
      </w:pPr>
    </w:p>
    <w:p>
      <w:pPr>
        <w:pStyle w:val="Heading2"/>
        <w:spacing w:before="320" w:after="120"/>
      </w:pPr>
      <w:r>
        <w:rPr>
          <w:rFonts w:ascii="Arial" w:cs="Arial" w:eastAsia="Arial" w:hAnsi="Arial"/>
          <w:b/>
          <w:bCs/>
          <w:color w:val="0D7377"/>
          <w:sz w:val="28"/>
          <w:szCs w:val="28"/>
        </w:rPr>
        <w:t xml:space="preserve">The Paid Dashboard — Key Feature Modules</w:t>
      </w:r>
    </w:p>
    <w:p>
      <w:pPr>
        <w:pStyle w:val="Heading3"/>
        <w:spacing w:before="240" w:after="80"/>
      </w:pPr>
      <w:r>
        <w:rPr>
          <w:rFonts w:ascii="Arial" w:cs="Arial" w:eastAsia="Arial" w:hAnsi="Arial"/>
          <w:b/>
          <w:bCs/>
          <w:color w:val="4A5568"/>
          <w:sz w:val="24"/>
          <w:szCs w:val="24"/>
        </w:rPr>
        <w:t xml:space="preserve">Module 1 — Grant Match Feed (Mission-Match Engine Output)</w:t>
      </w:r>
    </w:p>
    <w:p>
      <w:pPr>
        <w:spacing w:before="60" w:after="60"/>
      </w:pPr>
      <w:r>
        <w:rPr>
          <w:rFonts w:ascii="Arial" w:cs="Arial" w:eastAsia="Arial" w:hAnsi="Arial"/>
          <w:b w:val="false"/>
          <w:bCs w:val="false"/>
          <w:i w:val="false"/>
          <w:iCs w:val="false"/>
          <w:color w:val="4A5568"/>
          <w:sz w:val="22"/>
          <w:szCs w:val="22"/>
        </w:rPr>
        <w:t xml:space="preserve">This is the primary utility tool on the dashboard. It looks like a filtered news feed. Each card represents one matched grant and shows: Foundation Name, Grant Name, Award Range, Deadline, Strategic Fit Score (color-coded: green 85+, yellow 70–84, orange 60–69), and a one-sentence AI-generated rationale.</w:t>
      </w:r>
    </w:p>
    <w:p>
      <w:pPr>
        <w:spacing w:before="60" w:after="60"/>
      </w:pPr>
      <w:r>
        <w:rPr>
          <w:rFonts w:ascii="Arial" w:cs="Arial" w:eastAsia="Arial" w:hAnsi="Arial"/>
          <w:b w:val="false"/>
          <w:bCs w:val="false"/>
          <w:i w:val="false"/>
          <w:iCs w:val="false"/>
          <w:color w:val="4A5568"/>
          <w:sz w:val="22"/>
          <w:szCs w:val="22"/>
        </w:rPr>
        <w:t xml:space="preserve">Filters available: Fit Score threshold, deadline window (30/60/90 days), program type, award size. Clicking any card expands to the full Fit Score breakdown with all 8 dimensions displayed as a score bar chart.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Antigravity Build Prompt — Dashboard Grant Feed:
"Build a React component 'GrantFeed' that connects to Supabase table grant_matches filtered by subscriber_id from the authenticated session. Display each match as a card showing: foundation_name, grant_title, award_min, award_max, deadline, final_score. Color-code the score badge: green (#0D7377) for 85+, yellow (#D4A017) for 70–84, orange (#E07B39) for 60–69. On card click, render a side panel showing the full score_breakdown JSON as a labeled bar visualization using Chart.js. Implement filter controls for min_score, deadline_within_days, and program_type. Deploy to Vercel."</w:t>
            </w:r>
          </w:p>
        </w:tc>
      </w:tr>
    </w:tbl>
    <w:p>
      <w:pPr>
        <w:spacing w:before="160" w:after="0"/>
      </w:pPr>
    </w:p>
    <w:p>
      <w:pPr>
        <w:pStyle w:val="Heading3"/>
        <w:spacing w:before="240" w:after="80"/>
      </w:pPr>
      <w:r>
        <w:rPr>
          <w:rFonts w:ascii="Arial" w:cs="Arial" w:eastAsia="Arial" w:hAnsi="Arial"/>
          <w:b/>
          <w:bCs/>
          <w:color w:val="4A5568"/>
          <w:sz w:val="24"/>
          <w:szCs w:val="24"/>
        </w:rPr>
        <w:t xml:space="preserve">Module 2 — Hidden Liquidity Alert Panel (990 Funder Audit Output)</w:t>
      </w:r>
    </w:p>
    <w:p>
      <w:pPr>
        <w:spacing w:before="60" w:after="60"/>
      </w:pPr>
      <w:r>
        <w:rPr>
          <w:rFonts w:ascii="Arial" w:cs="Arial" w:eastAsia="Arial" w:hAnsi="Arial"/>
          <w:b w:val="false"/>
          <w:bCs w:val="false"/>
          <w:i w:val="false"/>
          <w:iCs w:val="false"/>
          <w:color w:val="4A5568"/>
          <w:sz w:val="22"/>
          <w:szCs w:val="22"/>
        </w:rPr>
        <w:t xml:space="preserve">A dedicated section of the dashboard that surfaces foundations currently behind on their 5% payout requirement. Each alert card shows: Foundation Name, Estimated Underspend Gap (dollar amount), Fiscal Year End Date, Days Remaining, and a Recommended Action (e.g., 'Submit LOI before March 31').</w:t>
      </w:r>
    </w:p>
    <w:p>
      <w:pPr>
        <w:spacing w:before="60" w:after="60"/>
      </w:pPr>
      <w:r>
        <w:rPr>
          <w:rFonts w:ascii="Arial" w:cs="Arial" w:eastAsia="Arial" w:hAnsi="Arial"/>
          <w:b w:val="false"/>
          <w:bCs w:val="false"/>
          <w:i w:val="false"/>
          <w:iCs w:val="false"/>
          <w:color w:val="4A5568"/>
          <w:sz w:val="22"/>
          <w:szCs w:val="22"/>
        </w:rPr>
        <w:t xml:space="preserve">This is the most powerful exclusive intelligence on the platform — information that a junior grant researcher earning $45K/year would take 20+ hours per week to manually compile.</w:t>
      </w:r>
    </w:p>
    <w:p>
      <w:pPr>
        <w:spacing w:before="160" w:after="0"/>
      </w:pPr>
    </w:p>
    <w:p>
      <w:pPr>
        <w:pStyle w:val="Heading3"/>
        <w:spacing w:before="240" w:after="80"/>
      </w:pPr>
      <w:r>
        <w:rPr>
          <w:rFonts w:ascii="Arial" w:cs="Arial" w:eastAsia="Arial" w:hAnsi="Arial"/>
          <w:b/>
          <w:bCs/>
          <w:color w:val="4A5568"/>
          <w:sz w:val="24"/>
          <w:szCs w:val="24"/>
        </w:rPr>
        <w:t xml:space="preserve">Module 3 — Funder Profile Pages</w:t>
      </w:r>
    </w:p>
    <w:p>
      <w:pPr>
        <w:spacing w:before="60" w:after="60"/>
      </w:pPr>
      <w:r>
        <w:rPr>
          <w:rFonts w:ascii="Arial" w:cs="Arial" w:eastAsia="Arial" w:hAnsi="Arial"/>
          <w:b w:val="false"/>
          <w:bCs w:val="false"/>
          <w:i w:val="false"/>
          <w:iCs w:val="false"/>
          <w:color w:val="4A5568"/>
          <w:sz w:val="22"/>
          <w:szCs w:val="22"/>
        </w:rPr>
        <w:t xml:space="preserve">Each foundation in the tracked database has a profile page auto-populated by Agent 4's 990 analysis. Includes: giving history by year, average grant size, primary program areas, geographic focus, board members, and a 'Relationship Notes' field where subscribers can add their own intel (CRM-lite functionality). This creates genuine lock-in — subscribers build up a private intelligence layer they can't take with them if they cancel.</w:t>
      </w:r>
    </w:p>
    <w:p>
      <w:pPr>
        <w:spacing w:before="160" w:after="0"/>
      </w:pPr>
    </w:p>
    <w:p>
      <w:pPr>
        <w:pStyle w:val="Heading3"/>
        <w:spacing w:before="240" w:after="80"/>
      </w:pPr>
      <w:r>
        <w:rPr>
          <w:rFonts w:ascii="Arial" w:cs="Arial" w:eastAsia="Arial" w:hAnsi="Arial"/>
          <w:b/>
          <w:bCs/>
          <w:color w:val="4A5568"/>
          <w:sz w:val="24"/>
          <w:szCs w:val="24"/>
        </w:rPr>
        <w:t xml:space="preserve">Module 4 — Drafting Kit Library (Tier 2 Only)</w:t>
      </w:r>
    </w:p>
    <w:p>
      <w:pPr>
        <w:spacing w:before="60" w:after="60"/>
      </w:pPr>
      <w:r>
        <w:rPr>
          <w:rFonts w:ascii="Arial" w:cs="Arial" w:eastAsia="Arial" w:hAnsi="Arial"/>
          <w:b w:val="false"/>
          <w:bCs w:val="false"/>
          <w:i w:val="false"/>
          <w:iCs w:val="false"/>
          <w:color w:val="4A5568"/>
          <w:sz w:val="22"/>
          <w:szCs w:val="22"/>
        </w:rPr>
        <w:t xml:space="preserve">A secure file library showing all Drafting Kits generated for the subscriber. Each kit is tied to a specific grant opportunity and contains: the Strategic Narrative Framework (how to position the org's work relative to this specific funder's priorities), Key Data Points to cite, Budget Framing Guide, and a Draft LOI Opening Paragraph. All generated by Antigravity agents based on the org profile + funder 990 analysis.</w:t>
      </w:r>
    </w:p>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5</w:t>
            </w:r>
          </w:p>
          <w:p>
            <w:r>
              <w:rPr>
                <w:rFonts w:ascii="Arial" w:cs="Arial" w:eastAsia="Arial" w:hAnsi="Arial"/>
                <w:color w:val="A0AEC0"/>
                <w:sz w:val="20"/>
                <w:szCs w:val="20"/>
              </w:rPr>
              <w:t xml:space="preserve">Sample Deliverable Formats — What Subscribers Actually See</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Sample: Weekly Newsletter Issue</w:t>
      </w:r>
    </w:p>
    <w:p>
      <w:pPr>
        <w:spacing w:before="60" w:after="60"/>
      </w:pPr>
      <w:r>
        <w:rPr>
          <w:rFonts w:ascii="Arial" w:cs="Arial" w:eastAsia="Arial" w:hAnsi="Arial"/>
          <w:b w:val="false"/>
          <w:bCs w:val="false"/>
          <w:i w:val="false"/>
          <w:iCs w:val="false"/>
          <w:color w:val="4A5568"/>
          <w:sz w:val="22"/>
          <w:szCs w:val="22"/>
        </w:rPr>
        <w:t xml:space="preserve">The newsletter is the public face of the system. It uses Beehiiv for delivery. Below is the format template for each weekly issue.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jc w:val="center"/>
            </w:pPr>
            <w:r>
              <w:rPr>
                <w:rFonts w:ascii="Arial" w:cs="Arial" w:eastAsia="Arial" w:hAnsi="Arial"/>
                <w:b/>
                <w:bCs/>
                <w:color w:val="FFFFFF"/>
                <w:sz w:val="28"/>
                <w:szCs w:val="28"/>
              </w:rPr>
              <w:t xml:space="preserve">THE GRANT CAPTURE ENGINE</w:t>
            </w:r>
          </w:p>
          <w:p>
            <w:pPr>
              <w:jc w:val="center"/>
            </w:pPr>
            <w:r>
              <w:rPr>
                <w:rFonts w:ascii="Arial" w:cs="Arial" w:eastAsia="Arial" w:hAnsi="Arial"/>
                <w:color w:val="A0AEC0"/>
                <w:sz w:val="20"/>
                <w:szCs w:val="20"/>
              </w:rPr>
              <w:t xml:space="preserve">Week of March 6, 2026  ·  Issue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00"/>
              <w:left w:type="dxa" w:w="280"/>
              <w:bottom w:type="dxa" w:w="100"/>
              <w:right w:type="dxa" w:w="280"/>
            </w:tcMar>
          </w:tcPr>
          <w:p>
            <w:pPr>
              <w:jc w:val="center"/>
            </w:pPr>
            <w:r>
              <w:rPr>
                <w:rFonts w:ascii="Arial" w:cs="Arial" w:eastAsia="Arial" w:hAnsi="Arial"/>
                <w:b/>
                <w:bCs/>
                <w:color w:val="FFFFFF"/>
                <w:sz w:val="22"/>
                <w:szCs w:val="22"/>
              </w:rPr>
              <w:t xml:space="preserve">🔥 THIS WEEK'S HIDDEN LIQUIDITY ALERT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
              <w:bottom w:val="single" w:color="D4A017" w:sz="1"/>
              <w:right w:val="single" w:color="D4A017" w:sz="1"/>
            </w:tcBorders>
            <w:shd w:fill="FDF6E3" w:val="clear"/>
            <w:tcMar>
              <w:top w:type="dxa" w:w="160"/>
              <w:left w:type="dxa" w:w="280"/>
              <w:bottom w:type="dxa" w:w="160"/>
              <w:right w:type="dxa" w:w="280"/>
            </w:tcMar>
          </w:tcPr>
          <w:p>
            <w:r>
              <w:rPr>
                <w:rFonts w:ascii="Arial" w:cs="Arial" w:eastAsia="Arial" w:hAnsi="Arial"/>
                <w:b/>
                <w:bCs/>
                <w:color w:val="1B2A4A"/>
                <w:sz w:val="24"/>
                <w:szCs w:val="24"/>
              </w:rPr>
              <w:t xml:space="preserve">⚡ The Arizona Community Foundation — $2.1M Underspend Gap Identified</w:t>
            </w:r>
          </w:p>
          <w:p>
            <w:pPr>
              <w:spacing w:before="80" w:after="0"/>
            </w:pPr>
            <w:r>
              <w:rPr>
                <w:rFonts w:ascii="Arial" w:cs="Arial" w:eastAsia="Arial" w:hAnsi="Arial"/>
                <w:i/>
                <w:iCs/>
                <w:color w:val="4A5568"/>
                <w:sz w:val="20"/>
                <w:szCs w:val="20"/>
              </w:rPr>
              <w:t xml:space="preserve">Fiscal year ends April 30, 2026 · 54 days remaining · Gap: $2,147,000</w:t>
            </w:r>
          </w:p>
          <w:p>
            <w:pPr>
              <w:spacing w:before="80" w:after="0"/>
            </w:pPr>
            <w:r>
              <w:rPr>
                <w:rFonts w:ascii="Arial" w:cs="Arial" w:eastAsia="Arial" w:hAnsi="Arial"/>
                <w:color w:val="4A5568"/>
                <w:sz w:val="21"/>
                <w:szCs w:val="21"/>
              </w:rPr>
              <w:t xml:space="preserve">Our 990 Funder Audit flagged this week that ACF has distributed only $8.2M of a legally required $10.3M for their current fiscal year. This creates a window of opportunity for eligible organizations — particularly arts, education, and basic needs nonprofits — to submit a Letter of Intent before March 31.</w:t>
            </w:r>
          </w:p>
          <w:p>
            <w:pPr>
              <w:spacing w:before="100" w:after="0"/>
            </w:pPr>
            <w:r>
              <w:rPr>
                <w:rFonts w:ascii="Arial" w:cs="Arial" w:eastAsia="Arial" w:hAnsi="Arial"/>
                <w:b/>
                <w:bCs/>
                <w:color w:val="0D7377"/>
                <w:sz w:val="21"/>
                <w:szCs w:val="21"/>
              </w:rPr>
              <w:t xml:space="preserve">→ MEMBERS: Full Funder Profile + Recommended LOI approach in your dashboard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00"/>
              <w:left w:type="dxa" w:w="280"/>
              <w:bottom w:type="dxa" w:w="100"/>
              <w:right w:type="dxa" w:w="280"/>
            </w:tcMar>
          </w:tcPr>
          <w:p>
            <w:pPr>
              <w:jc w:val="center"/>
            </w:pPr>
            <w:r>
              <w:rPr>
                <w:rFonts w:ascii="Arial" w:cs="Arial" w:eastAsia="Arial" w:hAnsi="Arial"/>
                <w:b/>
                <w:bCs/>
                <w:color w:val="FFFFFF"/>
                <w:sz w:val="22"/>
                <w:szCs w:val="22"/>
              </w:rPr>
              <w:t xml:space="preserve">📋 THIS WEEK'S TOP GRANT MATCHES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7FAFC" w:val="clear"/>
            <w:tcMar>
              <w:top w:type="dxa" w:w="160"/>
              <w:left w:type="dxa" w:w="280"/>
              <w:bottom w:type="dxa" w:w="160"/>
              <w:right w:type="dxa" w:w="280"/>
            </w:tcMar>
          </w:tcPr>
          <w:p>
            <w:r>
              <w:rPr>
                <w:rFonts w:ascii="Arial" w:cs="Arial" w:eastAsia="Arial" w:hAnsi="Arial"/>
                <w:i/>
                <w:iCs/>
                <w:color w:val="718096"/>
                <w:sz w:val="19"/>
                <w:szCs w:val="19"/>
              </w:rPr>
              <w:t xml:space="preserve">Shown below: National-level grant matches this week (Fit Score 85+). Full personalized matches in member dashboard.</w:t>
            </w:r>
          </w:p>
          <w:p>
            <w:pPr>
              <w:spacing w:before="120"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600"/>
              <w:gridCol w:w="2200"/>
            </w:tblGrid>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22"/>
                      <w:szCs w:val="22"/>
                    </w:rPr>
                    <w:t xml:space="preserve">W.K. Kellogg Foundation — Community Healing &amp; Racial Equity Initiative</w:t>
                  </w:r>
                </w:p>
                <w:p>
                  <w:r>
                    <w:rPr>
                      <w:rFonts w:ascii="Arial" w:cs="Arial" w:eastAsia="Arial" w:hAnsi="Arial"/>
                      <w:color w:val="718096"/>
                      <w:sz w:val="19"/>
                      <w:szCs w:val="19"/>
                    </w:rPr>
                    <w:t xml:space="preserve">Award: $75,000–$250,000  ·  Deadline: April 15, 2026  ·  National</w:t>
                  </w:r>
                </w:p>
                <w:p>
                  <w:pPr>
                    <w:spacing w:before="80" w:after="0"/>
                  </w:pPr>
                  <w:r>
                    <w:rPr>
                      <w:rFonts w:ascii="Arial" w:cs="Arial" w:eastAsia="Arial" w:hAnsi="Arial"/>
                      <w:color w:val="4A5568"/>
                      <w:sz w:val="20"/>
                      <w:szCs w:val="20"/>
                    </w:rPr>
                    <w:t xml:space="preserve">Focus: Organizations building community healing infrastructure, particularly in historically underinvested communities. Multi-year funding available.</w:t>
                  </w:r>
                </w:p>
              </w:tc>
              <w:tc>
                <w:tcPr>
                  <w:tcBorders>
                    <w:top w:val="single" w:color="0D7377" w:sz="1"/>
                    <w:left w:val="single" w:color="0D7377" w:sz="1"/>
                    <w:bottom w:val="single" w:color="0D7377" w:sz="1"/>
                    <w:right w:val="single" w:color="0D7377" w:sz="1"/>
                  </w:tcBorders>
                  <w:shd w:fill="E8F8F5" w:val="clear"/>
                  <w:tcMar>
                    <w:top w:type="dxa" w:w="100"/>
                    <w:left w:type="dxa" w:w="140"/>
                    <w:bottom w:type="dxa" w:w="100"/>
                    <w:right w:type="dxa" w:w="140"/>
                  </w:tcMar>
                  <w:vAlign w:val="center"/>
                </w:tcPr>
                <w:p>
                  <w:pPr>
                    <w:jc w:val="center"/>
                  </w:pPr>
                  <w:r>
                    <w:rPr>
                      <w:rFonts w:ascii="Arial" w:cs="Arial" w:eastAsia="Arial" w:hAnsi="Arial"/>
                      <w:b/>
                      <w:bCs/>
                      <w:color w:val="0D7377"/>
                      <w:sz w:val="52"/>
                      <w:szCs w:val="52"/>
                    </w:rPr>
                    <w:t xml:space="preserve">92</w:t>
                  </w:r>
                </w:p>
                <w:p>
                  <w:pPr>
                    <w:jc w:val="center"/>
                  </w:pPr>
                  <w:r>
                    <w:rPr>
                      <w:rFonts w:ascii="Arial" w:cs="Arial" w:eastAsia="Arial" w:hAnsi="Arial"/>
                      <w:b/>
                      <w:bCs/>
                      <w:color w:val="0D7377"/>
                      <w:sz w:val="16"/>
                      <w:szCs w:val="16"/>
                    </w:rPr>
                    <w:t xml:space="preserve">FIT SCORE</w:t>
                  </w:r>
                </w:p>
              </w:tc>
            </w:tr>
          </w:tbl>
          <w:p>
            <w:pPr>
              <w:spacing w:before="80"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600"/>
              <w:gridCol w:w="2200"/>
            </w:tblGrid>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22"/>
                      <w:szCs w:val="22"/>
                    </w:rPr>
                    <w:t xml:space="preserve">Robert Wood Johnson Foundation — Health Equity Forward Grants</w:t>
                  </w:r>
                </w:p>
                <w:p>
                  <w:r>
                    <w:rPr>
                      <w:rFonts w:ascii="Arial" w:cs="Arial" w:eastAsia="Arial" w:hAnsi="Arial"/>
                      <w:color w:val="718096"/>
                      <w:sz w:val="19"/>
                      <w:szCs w:val="19"/>
                    </w:rPr>
                    <w:t xml:space="preserve">Award: $100,000–$500,000  ·  Deadline: May 1, 2026  ·  National</w:t>
                  </w:r>
                </w:p>
                <w:p>
                  <w:pPr>
                    <w:spacing w:before="80" w:after="0"/>
                  </w:pPr>
                  <w:r>
                    <w:rPr>
                      <w:rFonts w:ascii="Arial" w:cs="Arial" w:eastAsia="Arial" w:hAnsi="Arial"/>
                      <w:color w:val="4A5568"/>
                      <w:sz w:val="20"/>
                      <w:szCs w:val="20"/>
                    </w:rPr>
                    <w:t xml:space="preserve">Focus: Population health equity projects in underserved communities. Priority to organizations with demonstrated community trust and measurable outcomes.</w:t>
                  </w:r>
                </w:p>
              </w:tc>
              <w:tc>
                <w:tcPr>
                  <w:tcBorders>
                    <w:top w:val="single" w:color="D4A017" w:sz="1"/>
                    <w:left w:val="single" w:color="D4A017" w:sz="1"/>
                    <w:bottom w:val="single" w:color="D4A017" w:sz="1"/>
                    <w:right w:val="single" w:color="D4A017" w:sz="1"/>
                  </w:tcBorders>
                  <w:shd w:fill="FDF6E3" w:val="clear"/>
                  <w:tcMar>
                    <w:top w:type="dxa" w:w="100"/>
                    <w:left w:type="dxa" w:w="140"/>
                    <w:bottom w:type="dxa" w:w="100"/>
                    <w:right w:type="dxa" w:w="140"/>
                  </w:tcMar>
                  <w:vAlign w:val="center"/>
                </w:tcPr>
                <w:p>
                  <w:pPr>
                    <w:jc w:val="center"/>
                  </w:pPr>
                  <w:r>
                    <w:rPr>
                      <w:rFonts w:ascii="Arial" w:cs="Arial" w:eastAsia="Arial" w:hAnsi="Arial"/>
                      <w:b/>
                      <w:bCs/>
                      <w:color w:val="D4A017"/>
                      <w:sz w:val="52"/>
                      <w:szCs w:val="52"/>
                    </w:rPr>
                    <w:t xml:space="preserve">78</w:t>
                  </w:r>
                </w:p>
                <w:p>
                  <w:pPr>
                    <w:jc w:val="center"/>
                  </w:pPr>
                  <w:r>
                    <w:rPr>
                      <w:rFonts w:ascii="Arial" w:cs="Arial" w:eastAsia="Arial" w:hAnsi="Arial"/>
                      <w:b/>
                      <w:bCs/>
                      <w:color w:val="D4A017"/>
                      <w:sz w:val="16"/>
                      <w:szCs w:val="16"/>
                    </w:rPr>
                    <w:t xml:space="preserve">FIT SCORE</w:t>
                  </w:r>
                </w:p>
              </w:tc>
            </w:tr>
          </w:tbl>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6"/>
              <w:bottom w:val="none" w:color="FFFFFF" w:sz="0"/>
              <w:right w:val="none" w:color="FFFFFF" w:sz="0"/>
            </w:tcBorders>
            <w:shd w:fill="E8F5F3" w:val="clear"/>
            <w:tcMar>
              <w:top w:type="dxa" w:w="160"/>
              <w:left w:type="dxa" w:w="200"/>
              <w:bottom w:type="dxa" w:w="160"/>
              <w:right w:type="dxa" w:w="200"/>
            </w:tcMar>
          </w:tcPr>
          <w:p>
            <w:r>
              <w:rPr>
                <w:rFonts w:ascii="Arial" w:cs="Arial" w:eastAsia="Arial" w:hAnsi="Arial"/>
                <w:b/>
                <w:bCs/>
                <w:color w:val="1B2A4A"/>
                <w:sz w:val="22"/>
                <w:szCs w:val="22"/>
              </w:rPr>
              <w:t xml:space="preserve">SECTOR PULSE — This Week's Intelligence</w:t>
            </w:r>
          </w:p>
          <w:p>
            <w:pPr>
              <w:spacing w:before="80" w:after="0"/>
            </w:pPr>
            <w:r>
              <w:rPr>
                <w:rFonts w:ascii="Arial" w:cs="Arial" w:eastAsia="Arial" w:hAnsi="Arial"/>
                <w:color w:val="4A5568"/>
                <w:sz w:val="21"/>
                <w:szCs w:val="21"/>
              </w:rPr>
              <w:t xml:space="preserve">The Annie E. Casey Foundation released updated 2026 grantmaking priorities this week, signaling a significant shift toward 'economic mobility' framing over 'poverty alleviation' language. Nonprofits applying to Casey-aligned funders should update their narrative framing accordingly — the distinction matters in scoring rubrics. Full analysis in member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jc w:val="center"/>
            </w:pPr>
            <w:r>
              <w:rPr>
                <w:rFonts w:ascii="Arial" w:cs="Arial" w:eastAsia="Arial" w:hAnsi="Arial"/>
                <w:b/>
                <w:bCs/>
                <w:color w:val="FFFFFF"/>
                <w:sz w:val="21"/>
                <w:szCs w:val="21"/>
              </w:rPr>
              <w:t xml:space="preserve">→ Access your personalized grant feed &amp; Fit Score breakdowns</w:t>
            </w:r>
          </w:p>
          <w:p>
            <w:pPr>
              <w:jc w:val="center"/>
            </w:pPr>
            <w:r>
              <w:rPr>
                <w:rFonts w:ascii="Arial" w:cs="Arial" w:eastAsia="Arial" w:hAnsi="Arial"/>
                <w:color w:val="14A085"/>
                <w:sz w:val="21"/>
                <w:szCs w:val="21"/>
              </w:rPr>
              <w:t xml:space="preserve">grantcaptureengine.com/dashboard</w:t>
            </w:r>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6</w:t>
            </w:r>
          </w:p>
          <w:p>
            <w:r>
              <w:rPr>
                <w:rFonts w:ascii="Arial" w:cs="Arial" w:eastAsia="Arial" w:hAnsi="Arial"/>
                <w:color w:val="A0AEC0"/>
                <w:sz w:val="20"/>
                <w:szCs w:val="20"/>
              </w:rPr>
              <w:t xml:space="preserve">Sample: Strategic Fit Score Report (Member Dashboard View)</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Sample Fit Score Report</w:t>
      </w:r>
    </w:p>
    <w:p>
      <w:pPr>
        <w:spacing w:before="60" w:after="60"/>
      </w:pPr>
      <w:r>
        <w:rPr>
          <w:rFonts w:ascii="Arial" w:cs="Arial" w:eastAsia="Arial" w:hAnsi="Arial"/>
          <w:b w:val="false"/>
          <w:bCs w:val="false"/>
          <w:i w:val="false"/>
          <w:iCs w:val="false"/>
          <w:color w:val="4A5568"/>
          <w:sz w:val="22"/>
          <w:szCs w:val="22"/>
        </w:rPr>
        <w:t xml:space="preserve">This is what a paid subscriber sees when they click into a specific grant match on their dashboard. The agent-generated score breakdown creates trust and removes guesswork.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Mar>
                    <w:top w:type="dxa" w:w="0"/>
                    <w:left w:type="dxa" w:w="0"/>
                    <w:bottom w:type="dxa" w:w="0"/>
                    <w:right w:type="dxa" w:w="140"/>
                  </w:tcMar>
                </w:tcPr>
                <w:p>
                  <w:r>
                    <w:rPr>
                      <w:rFonts w:ascii="Arial" w:cs="Arial" w:eastAsia="Arial" w:hAnsi="Arial"/>
                      <w:b/>
                      <w:bCs/>
                      <w:color w:val="FFFFFF"/>
                      <w:sz w:val="26"/>
                      <w:szCs w:val="26"/>
                    </w:rPr>
                    <w:t xml:space="preserve">STRATEGIC FIT SCORE REPORT</w:t>
                  </w:r>
                </w:p>
                <w:p>
                  <w:r>
                    <w:rPr>
                      <w:rFonts w:ascii="Arial" w:cs="Arial" w:eastAsia="Arial" w:hAnsi="Arial"/>
                      <w:color w:val="A0AEC0"/>
                      <w:sz w:val="20"/>
                      <w:szCs w:val="20"/>
                    </w:rPr>
                    <w:t xml:space="preserve">W.K. Kellogg Foundation — Community Healing Initiative</w:t>
                  </w:r>
                </w:p>
                <w:p>
                  <w:pPr>
                    <w:spacing w:before="60" w:after="0"/>
                  </w:pPr>
                  <w:r>
                    <w:rPr>
                      <w:rFonts w:ascii="Arial" w:cs="Arial" w:eastAsia="Arial" w:hAnsi="Arial"/>
                      <w:color w:val="14A085"/>
                      <w:sz w:val="19"/>
                      <w:szCs w:val="19"/>
                    </w:rPr>
                    <w:t xml:space="preserve">Generated for: Tucson Youth Advocacy Alliance</w:t>
                  </w:r>
                </w:p>
              </w:tc>
              <w:tc>
                <w:tcPr>
                  <w:tcBorders>
                    <w:top w:val="none" w:color="FFFFFF" w:sz="0"/>
                    <w:left w:val="none" w:color="FFFFFF" w:sz="0"/>
                    <w:bottom w:val="none" w:color="FFFFFF" w:sz="0"/>
                    <w:right w:val="none" w:color="FFFFFF" w:sz="0"/>
                  </w:tcBorders>
                  <w:tcMar>
                    <w:top w:type="dxa" w:w="0"/>
                    <w:left w:type="dxa" w:w="140"/>
                    <w:bottom w:type="dxa" w:w="0"/>
                    <w:right w:type="dxa" w:w="0"/>
                  </w:tcMar>
                </w:tcPr>
                <w:p>
                  <w:pPr>
                    <w:jc w:val="center"/>
                  </w:pPr>
                  <w:r>
                    <w:rPr>
                      <w:rFonts w:ascii="Arial" w:cs="Arial" w:eastAsia="Arial" w:hAnsi="Arial"/>
                      <w:b/>
                      <w:bCs/>
                      <w:color w:val="14A085"/>
                      <w:sz w:val="72"/>
                      <w:szCs w:val="72"/>
                    </w:rPr>
                    <w:t xml:space="preserve">92</w:t>
                  </w:r>
                </w:p>
                <w:p>
                  <w:pPr>
                    <w:jc w:val="center"/>
                  </w:pPr>
                  <w:r>
                    <w:rPr>
                      <w:rFonts w:ascii="Arial" w:cs="Arial" w:eastAsia="Arial" w:hAnsi="Arial"/>
                      <w:color w:val="A0AEC0"/>
                      <w:sz w:val="18"/>
                      <w:szCs w:val="18"/>
                    </w:rPr>
                    <w:t xml:space="preserve">OVERALL FIT SCORE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7FAFC" w:val="clear"/>
            <w:tcMar>
              <w:top w:type="dxa" w:w="200"/>
              <w:left w:type="dxa" w:w="280"/>
              <w:bottom w:type="dxa" w:w="200"/>
              <w:right w:type="dxa" w:w="280"/>
            </w:tcMar>
          </w:tcPr>
          <w:p>
            <w:pPr>
              <w:pStyle w:val="Heading3"/>
              <w:spacing w:before="240" w:after="80"/>
            </w:pPr>
            <w:r>
              <w:rPr>
                <w:rFonts w:ascii="Arial" w:cs="Arial" w:eastAsia="Arial" w:hAnsi="Arial"/>
                <w:b/>
                <w:bCs/>
                <w:color w:val="4A5568"/>
                <w:sz w:val="24"/>
                <w:szCs w:val="24"/>
              </w:rPr>
              <w:t xml:space="preserve">Score Breakdown by Dimension</w:t>
            </w:r>
          </w:p>
          <w:p>
            <w:pPr>
              <w:spacing w:before="40" w:after="40"/>
            </w:pPr>
            <w:r>
              <w:rPr>
                <w:rFonts w:ascii="Courier New" w:cs="Courier New" w:eastAsia="Courier New" w:hAnsi="Courier New"/>
                <w:color w:val="4A5568"/>
                <w:sz w:val="20"/>
                <w:szCs w:val="20"/>
              </w:rPr>
              <w:t xml:space="preserve">Mission Alignment             </w:t>
            </w:r>
            <w:r>
              <w:rPr>
                <w:rFonts w:ascii="Courier New" w:cs="Courier New" w:eastAsia="Courier New" w:hAnsi="Courier New"/>
                <w:color w:val="0D7377"/>
                <w:sz w:val="20"/>
                <w:szCs w:val="20"/>
              </w:rPr>
              <w:t xml:space="preserve">██████████</w:t>
            </w:r>
            <w:r>
              <w:rPr>
                <w:rFonts w:ascii="Arial" w:cs="Arial" w:eastAsia="Arial" w:hAnsi="Arial"/>
                <w:b/>
                <w:bCs/>
                <w:color w:val="0D7377"/>
                <w:sz w:val="20"/>
                <w:szCs w:val="20"/>
              </w:rPr>
              <w:t xml:space="preserve">  96%</w:t>
            </w:r>
          </w:p>
          <w:p>
            <w:pPr>
              <w:spacing w:before="40" w:after="40"/>
            </w:pPr>
            <w:r>
              <w:rPr>
                <w:rFonts w:ascii="Courier New" w:cs="Courier New" w:eastAsia="Courier New" w:hAnsi="Courier New"/>
                <w:color w:val="4A5568"/>
                <w:sz w:val="20"/>
                <w:szCs w:val="20"/>
              </w:rPr>
              <w:t xml:space="preserve">Budget Fit                    </w:t>
            </w:r>
            <w:r>
              <w:rPr>
                <w:rFonts w:ascii="Courier New" w:cs="Courier New" w:eastAsia="Courier New" w:hAnsi="Courier New"/>
                <w:color w:val="0D7377"/>
                <w:sz w:val="20"/>
                <w:szCs w:val="20"/>
              </w:rPr>
              <w:t xml:space="preserve">█████████░</w:t>
            </w:r>
            <w:r>
              <w:rPr>
                <w:rFonts w:ascii="Arial" w:cs="Arial" w:eastAsia="Arial" w:hAnsi="Arial"/>
                <w:b/>
                <w:bCs/>
                <w:color w:val="0D7377"/>
                <w:sz w:val="20"/>
                <w:szCs w:val="20"/>
              </w:rPr>
              <w:t xml:space="preserve">  88%</w:t>
            </w:r>
          </w:p>
          <w:p>
            <w:pPr>
              <w:spacing w:before="40" w:after="40"/>
            </w:pPr>
            <w:r>
              <w:rPr>
                <w:rFonts w:ascii="Courier New" w:cs="Courier New" w:eastAsia="Courier New" w:hAnsi="Courier New"/>
                <w:color w:val="4A5568"/>
                <w:sz w:val="20"/>
                <w:szCs w:val="20"/>
              </w:rPr>
              <w:t xml:space="preserve">Geographic Match              </w:t>
            </w:r>
            <w:r>
              <w:rPr>
                <w:rFonts w:ascii="Courier New" w:cs="Courier New" w:eastAsia="Courier New" w:hAnsi="Courier New"/>
                <w:color w:val="0D7377"/>
                <w:sz w:val="20"/>
                <w:szCs w:val="20"/>
              </w:rPr>
              <w:t xml:space="preserve">██████████</w:t>
            </w:r>
            <w:r>
              <w:rPr>
                <w:rFonts w:ascii="Arial" w:cs="Arial" w:eastAsia="Arial" w:hAnsi="Arial"/>
                <w:b/>
                <w:bCs/>
                <w:color w:val="0D7377"/>
                <w:sz w:val="20"/>
                <w:szCs w:val="20"/>
              </w:rPr>
              <w:t xml:space="preserve">  100%</w:t>
            </w:r>
          </w:p>
          <w:p>
            <w:pPr>
              <w:spacing w:before="40" w:after="40"/>
            </w:pPr>
            <w:r>
              <w:rPr>
                <w:rFonts w:ascii="Courier New" w:cs="Courier New" w:eastAsia="Courier New" w:hAnsi="Courier New"/>
                <w:color w:val="4A5568"/>
                <w:sz w:val="20"/>
                <w:szCs w:val="20"/>
              </w:rPr>
              <w:t xml:space="preserve">Deadline Urgency              </w:t>
            </w:r>
            <w:r>
              <w:rPr>
                <w:rFonts w:ascii="Courier New" w:cs="Courier New" w:eastAsia="Courier New" w:hAnsi="Courier New"/>
                <w:color w:val="D4A017"/>
                <w:sz w:val="20"/>
                <w:szCs w:val="20"/>
              </w:rPr>
              <w:t xml:space="preserve">███████░░░</w:t>
            </w:r>
            <w:r>
              <w:rPr>
                <w:rFonts w:ascii="Arial" w:cs="Arial" w:eastAsia="Arial" w:hAnsi="Arial"/>
                <w:b/>
                <w:bCs/>
                <w:color w:val="D4A017"/>
                <w:sz w:val="20"/>
                <w:szCs w:val="20"/>
              </w:rPr>
              <w:t xml:space="preserve">  72%</w:t>
            </w:r>
          </w:p>
          <w:p>
            <w:pPr>
              <w:spacing w:before="40" w:after="40"/>
            </w:pPr>
            <w:r>
              <w:rPr>
                <w:rFonts w:ascii="Courier New" w:cs="Courier New" w:eastAsia="Courier New" w:hAnsi="Courier New"/>
                <w:color w:val="4A5568"/>
                <w:sz w:val="20"/>
                <w:szCs w:val="20"/>
              </w:rPr>
              <w:t xml:space="preserve">Funder Grant History          </w:t>
            </w:r>
            <w:r>
              <w:rPr>
                <w:rFonts w:ascii="Courier New" w:cs="Courier New" w:eastAsia="Courier New" w:hAnsi="Courier New"/>
                <w:color w:val="0D7377"/>
                <w:sz w:val="20"/>
                <w:szCs w:val="20"/>
              </w:rPr>
              <w:t xml:space="preserve">█████████░</w:t>
            </w:r>
            <w:r>
              <w:rPr>
                <w:rFonts w:ascii="Arial" w:cs="Arial" w:eastAsia="Arial" w:hAnsi="Arial"/>
                <w:b/>
                <w:bCs/>
                <w:color w:val="0D7377"/>
                <w:sz w:val="20"/>
                <w:szCs w:val="20"/>
              </w:rPr>
              <w:t xml:space="preserve">  85%</w:t>
            </w:r>
          </w:p>
          <w:p>
            <w:pPr>
              <w:spacing w:before="40" w:after="40"/>
            </w:pPr>
            <w:r>
              <w:rPr>
                <w:rFonts w:ascii="Courier New" w:cs="Courier New" w:eastAsia="Courier New" w:hAnsi="Courier New"/>
                <w:color w:val="4A5568"/>
                <w:sz w:val="20"/>
                <w:szCs w:val="20"/>
              </w:rPr>
              <w:t xml:space="preserve">Program Type Match            </w:t>
            </w:r>
            <w:r>
              <w:rPr>
                <w:rFonts w:ascii="Courier New" w:cs="Courier New" w:eastAsia="Courier New" w:hAnsi="Courier New"/>
                <w:color w:val="0D7377"/>
                <w:sz w:val="20"/>
                <w:szCs w:val="20"/>
              </w:rPr>
              <w:t xml:space="preserve">█████████░</w:t>
            </w:r>
            <w:r>
              <w:rPr>
                <w:rFonts w:ascii="Arial" w:cs="Arial" w:eastAsia="Arial" w:hAnsi="Arial"/>
                <w:b/>
                <w:bCs/>
                <w:color w:val="0D7377"/>
                <w:sz w:val="20"/>
                <w:szCs w:val="20"/>
              </w:rPr>
              <w:t xml:space="preserve">  90%</w:t>
            </w:r>
          </w:p>
          <w:p>
            <w:pPr>
              <w:spacing w:before="40" w:after="40"/>
            </w:pPr>
            <w:r>
              <w:rPr>
                <w:rFonts w:ascii="Courier New" w:cs="Courier New" w:eastAsia="Courier New" w:hAnsi="Courier New"/>
                <w:color w:val="4A5568"/>
                <w:sz w:val="20"/>
                <w:szCs w:val="20"/>
              </w:rPr>
              <w:t xml:space="preserve">Competitive Density           </w:t>
            </w:r>
            <w:r>
              <w:rPr>
                <w:rFonts w:ascii="Courier New" w:cs="Courier New" w:eastAsia="Courier New" w:hAnsi="Courier New"/>
                <w:color w:val="D4A017"/>
                <w:sz w:val="20"/>
                <w:szCs w:val="20"/>
              </w:rPr>
              <w:t xml:space="preserve">███████░░░</w:t>
            </w:r>
            <w:r>
              <w:rPr>
                <w:rFonts w:ascii="Arial" w:cs="Arial" w:eastAsia="Arial" w:hAnsi="Arial"/>
                <w:b/>
                <w:bCs/>
                <w:color w:val="D4A017"/>
                <w:sz w:val="20"/>
                <w:szCs w:val="20"/>
              </w:rPr>
              <w:t xml:space="preserve">  68%</w:t>
            </w:r>
          </w:p>
          <w:p>
            <w:pPr>
              <w:spacing w:before="40" w:after="40"/>
            </w:pPr>
            <w:r>
              <w:rPr>
                <w:rFonts w:ascii="Courier New" w:cs="Courier New" w:eastAsia="Courier New" w:hAnsi="Courier New"/>
                <w:color w:val="4A5568"/>
                <w:sz w:val="20"/>
                <w:szCs w:val="20"/>
              </w:rPr>
              <w:t xml:space="preserve">Funder Liquidity Signal       </w:t>
            </w:r>
            <w:r>
              <w:rPr>
                <w:rFonts w:ascii="Courier New" w:cs="Courier New" w:eastAsia="Courier New" w:hAnsi="Courier New"/>
                <w:color w:val="718096"/>
                <w:sz w:val="20"/>
                <w:szCs w:val="20"/>
              </w:rPr>
              <w:t xml:space="preserve">█████░░░░░</w:t>
            </w:r>
            <w:r>
              <w:rPr>
                <w:rFonts w:ascii="Arial" w:cs="Arial" w:eastAsia="Arial" w:hAnsi="Arial"/>
                <w:b/>
                <w:bCs/>
                <w:color w:val="718096"/>
                <w:sz w:val="20"/>
                <w:szCs w:val="20"/>
              </w:rPr>
              <w:t xml:space="preserve">  50%</w:t>
            </w:r>
          </w:p>
          <w:p>
            <w:pPr>
              <w:spacing w:before="120" w:after="0"/>
            </w:pPr>
          </w:p>
          <w:p>
            <w:pPr>
              <w:pStyle w:val="Heading3"/>
              <w:spacing w:before="240" w:after="80"/>
            </w:pPr>
            <w:r>
              <w:rPr>
                <w:rFonts w:ascii="Arial" w:cs="Arial" w:eastAsia="Arial" w:hAnsi="Arial"/>
                <w:b/>
                <w:bCs/>
                <w:color w:val="4A5568"/>
                <w:sz w:val="24"/>
                <w:szCs w:val="24"/>
              </w:rPr>
              <w:t xml:space="preserve">Agent Rationale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none" w:color="FFFFFF" w:sz="0"/>
                    <w:left w:val="single" w:color="0D7377" w:sz="16"/>
                    <w:bottom w:val="none" w:color="FFFFFF" w:sz="0"/>
                    <w:right w:val="none" w:color="FFFFFF" w:sz="0"/>
                  </w:tcBorders>
                  <w:shd w:fill="E8F5F3" w:val="clear"/>
                  <w:tcMar>
                    <w:top w:type="dxa" w:w="160"/>
                    <w:left w:type="dxa" w:w="200"/>
                    <w:bottom w:type="dxa" w:w="160"/>
                    <w:right w:type="dxa" w:w="200"/>
                  </w:tcMar>
                </w:tcPr>
                <w:p>
                  <w:r>
                    <w:rPr>
                      <w:rFonts w:ascii="Arial" w:cs="Arial" w:eastAsia="Arial" w:hAnsi="Arial"/>
                      <w:b/>
                      <w:bCs/>
                      <w:color w:val="1B2A4A"/>
                      <w:sz w:val="21"/>
                      <w:szCs w:val="21"/>
                    </w:rPr>
                    <w:t xml:space="preserve">Why this grant scored 92:</w:t>
                  </w:r>
                </w:p>
                <w:p>
                  <w:pPr>
                    <w:spacing w:before="80" w:after="0"/>
                  </w:pPr>
                  <w:r>
                    <w:rPr>
                      <w:rFonts w:ascii="Arial" w:cs="Arial" w:eastAsia="Arial" w:hAnsi="Arial"/>
                      <w:color w:val="4A5568"/>
                      <w:sz w:val="20"/>
                      <w:szCs w:val="20"/>
                    </w:rPr>
                    <w:t xml:space="preserve">1. Your organization's mission statement — 'building community-led healing infrastructure for youth in Tucson's south side' — aligns directly with Kellogg's 2026 priority framing of 'place-based healing.' The semantic overlap is 96%, the highest in this match cycle.</w:t>
                  </w:r>
                </w:p>
                <w:p>
                  <w:pPr>
                    <w:spacing w:before="60" w:after="0"/>
                  </w:pPr>
                  <w:r>
                    <w:rPr>
                      <w:rFonts w:ascii="Arial" w:cs="Arial" w:eastAsia="Arial" w:hAnsi="Arial"/>
                      <w:color w:val="4A5568"/>
                      <w:sz w:val="20"/>
                      <w:szCs w:val="20"/>
                    </w:rPr>
                    <w:t xml:space="preserve">2. Kellogg's 990 analysis shows they awarded 14 grants between $75K–$200K to youth-serving organizations in Southwest states in their last fiscal year — your $285K annual budget places you in the sweet spot of their typical grantee profile.</w:t>
                  </w:r>
                </w:p>
                <w:p>
                  <w:pPr>
                    <w:spacing w:before="60" w:after="0"/>
                  </w:pPr>
                  <w:r>
                    <w:rPr>
                      <w:rFonts w:ascii="Arial" w:cs="Arial" w:eastAsia="Arial" w:hAnsi="Arial"/>
                      <w:color w:val="4A5568"/>
                      <w:sz w:val="20"/>
                      <w:szCs w:val="20"/>
                    </w:rPr>
                    <w:t xml:space="preserve">3. Arizona is explicitly listed as a geographic priority in Kellogg's 2026 strategic plan update. Competitive density is moderate — estimated 40–60 eligible orgs in your region will be aware of this opportunity.</w:t>
                  </w:r>
                </w:p>
              </w:tc>
            </w:tr>
          </w:tbl>
          <w:p>
            <w:pPr>
              <w:spacing w:before="120"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c>
                <w:tcPr>
                  <w:tcBorders>
                    <w:top w:val="none" w:color="FFFFFF" w:sz="0"/>
                    <w:left w:val="none" w:color="FFFFFF" w:sz="0"/>
                    <w:bottom w:val="none" w:color="FFFFFF" w:sz="0"/>
                    <w:right w:val="none" w:color="FFFFFF" w:sz="0"/>
                  </w:tcBorders>
                  <w:shd w:fill="0D7377"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View Drafting Kit</w:t>
                  </w:r>
                </w:p>
              </w:tc>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View Funder Profile</w:t>
                  </w:r>
                </w:p>
              </w:tc>
              <w:tc>
                <w:tcPr>
                  <w:tcBorders>
                    <w:top w:val="none" w:color="FFFFFF" w:sz="0"/>
                    <w:left w:val="none" w:color="FFFFFF" w:sz="0"/>
                    <w:bottom w:val="none" w:color="FFFFFF" w:sz="0"/>
                    <w:right w:val="none" w:color="FFFFFF" w:sz="0"/>
                  </w:tcBorders>
                  <w:shd w:fill="D4A017" w:val="clear"/>
                  <w:tcMar>
                    <w:top w:type="dxa" w:w="120"/>
                    <w:left w:type="dxa" w:w="160"/>
                    <w:bottom w:type="dxa" w:w="120"/>
                    <w:right w:type="dxa" w:w="160"/>
                  </w:tcMar>
                </w:tcPr>
                <w:p>
                  <w:pPr>
                    <w:jc w:val="center"/>
                  </w:pPr>
                  <w:r>
                    <w:rPr>
                      <w:rFonts w:ascii="Arial" w:cs="Arial" w:eastAsia="Arial" w:hAnsi="Arial"/>
                      <w:b/>
                      <w:bCs/>
                      <w:color w:val="1B2A4A"/>
                      <w:sz w:val="20"/>
                      <w:szCs w:val="20"/>
                    </w:rPr>
                    <w:t xml:space="preserve">🔔 Set Deadline Alert</w:t>
                  </w:r>
                </w:p>
              </w:tc>
            </w:tr>
          </w:tbl>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7</w:t>
            </w:r>
          </w:p>
          <w:p>
            <w:r>
              <w:rPr>
                <w:rFonts w:ascii="Arial" w:cs="Arial" w:eastAsia="Arial" w:hAnsi="Arial"/>
                <w:color w:val="A0AEC0"/>
                <w:sz w:val="20"/>
                <w:szCs w:val="20"/>
              </w:rPr>
              <w:t xml:space="preserve">Sample: Board-Ready Brief (Quarterly PDF)</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Board-Ready Brief — Sample Format</w:t>
      </w:r>
    </w:p>
    <w:p>
      <w:pPr>
        <w:spacing w:before="60" w:after="60"/>
      </w:pPr>
      <w:r>
        <w:rPr>
          <w:rFonts w:ascii="Arial" w:cs="Arial" w:eastAsia="Arial" w:hAnsi="Arial"/>
          <w:b w:val="false"/>
          <w:bCs w:val="false"/>
          <w:i w:val="false"/>
          <w:iCs w:val="false"/>
          <w:color w:val="4A5568"/>
          <w:sz w:val="22"/>
          <w:szCs w:val="22"/>
        </w:rPr>
        <w:t xml:space="preserve">The Board-Ready Brief is the highest-perceived-value deliverable in the system. It is auto-generated by Antigravity agents each quarter and formatted as a professional PDF report the ED can drop directly into a board packet. This is the $500/quarter upsell that justifies the entire platform.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80"/>
              <w:left w:type="dxa" w:w="560"/>
              <w:bottom w:type="dxa" w:w="280"/>
              <w:right w:type="dxa" w:w="560"/>
            </w:tcMar>
          </w:tcPr>
          <w:p>
            <w:pPr>
              <w:jc w:val="center"/>
            </w:pPr>
            <w:r>
              <w:rPr>
                <w:rFonts w:ascii="Arial" w:cs="Arial" w:eastAsia="Arial" w:hAnsi="Arial"/>
                <w:b/>
                <w:bCs/>
                <w:color w:val="14A085"/>
                <w:sz w:val="28"/>
                <w:szCs w:val="28"/>
              </w:rPr>
              <w:t xml:space="preserve">GRANT CAPTURE ENGINE</w:t>
            </w:r>
          </w:p>
          <w:p>
            <w:pPr>
              <w:spacing w:before="60" w:after="60"/>
              <w:jc w:val="center"/>
            </w:pPr>
            <w:r>
              <w:rPr>
                <w:rFonts w:ascii="Arial" w:cs="Arial" w:eastAsia="Arial" w:hAnsi="Arial"/>
                <w:b/>
                <w:bCs/>
                <w:color w:val="FFFFFF"/>
                <w:sz w:val="40"/>
                <w:szCs w:val="40"/>
              </w:rPr>
              <w:t xml:space="preserve">Q1 2026 BOARD-READY BRIEF</w:t>
            </w:r>
          </w:p>
          <w:p>
            <w:pPr>
              <w:jc w:val="center"/>
            </w:pPr>
            <w:r>
              <w:rPr>
                <w:rFonts w:ascii="Arial" w:cs="Arial" w:eastAsia="Arial" w:hAnsi="Arial"/>
                <w:color w:val="A0AEC0"/>
                <w:sz w:val="22"/>
                <w:szCs w:val="22"/>
              </w:rPr>
              <w:t xml:space="preserve">Prepared for: Tucson Youth Advocacy Alliance</w:t>
            </w:r>
          </w:p>
          <w:p>
            <w:pPr>
              <w:jc w:val="center"/>
            </w:pPr>
            <w:r>
              <w:rPr>
                <w:rFonts w:ascii="Arial" w:cs="Arial" w:eastAsia="Arial" w:hAnsi="Arial"/>
                <w:i/>
                <w:iCs/>
                <w:color w:val="A0AEC0"/>
                <w:sz w:val="20"/>
                <w:szCs w:val="20"/>
              </w:rPr>
              <w:t xml:space="preserve">Board Meeting Use · January–March 2026</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none" w:color="FFFFFF" w:sz="0"/>
              <w:left w:val="none" w:color="FFFFFF" w:sz="0"/>
              <w:bottom w:val="none" w:color="FFFFFF" w:sz="0"/>
              <w:right w:val="none" w:color="FFFFFF" w:sz="0"/>
            </w:tcBorders>
            <w:shd w:fill="0D7377" w:val="clear"/>
            <w:tcMar>
              <w:top w:type="dxa" w:w="100"/>
              <w:left w:type="dxa" w:w="140"/>
              <w:bottom w:type="dxa" w:w="100"/>
              <w:right w:type="dxa" w:w="140"/>
            </w:tcMar>
          </w:tcPr>
          <w:p>
            <w:pPr>
              <w:jc w:val="center"/>
            </w:pPr>
            <w:r>
              <w:rPr>
                <w:rFonts w:ascii="Arial" w:cs="Arial" w:eastAsia="Arial" w:hAnsi="Arial"/>
                <w:b/>
                <w:bCs/>
                <w:color w:val="FFFFFF"/>
                <w:sz w:val="40"/>
                <w:szCs w:val="40"/>
              </w:rPr>
              <w:t xml:space="preserve">47</w:t>
            </w:r>
          </w:p>
          <w:p>
            <w:pPr>
              <w:jc w:val="center"/>
            </w:pPr>
            <w:r>
              <w:rPr>
                <w:rFonts w:ascii="Arial" w:cs="Arial" w:eastAsia="Arial" w:hAnsi="Arial"/>
                <w:color w:val="B2EBE0"/>
                <w:sz w:val="18"/>
                <w:szCs w:val="18"/>
              </w:rPr>
              <w:t xml:space="preserve">Grants Monitored</w:t>
            </w:r>
          </w:p>
        </w:tc>
        <w:tc>
          <w:tcPr>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color w:val="A0AEC0"/>
                <w:sz w:val="18"/>
                <w:szCs w:val="18"/>
              </w:rPr>
              <w:t xml:space="preserve">High Priority Matches</w:t>
            </w:r>
          </w:p>
        </w:tc>
        <w:tc>
          <w:tcPr>
            <w:tcBorders>
              <w:top w:val="none" w:color="FFFFFF" w:sz="0"/>
              <w:left w:val="none" w:color="FFFFFF" w:sz="0"/>
              <w:bottom w:val="none" w:color="FFFFFF" w:sz="0"/>
              <w:right w:val="none" w:color="FFFFFF" w:sz="0"/>
            </w:tcBorders>
            <w:shd w:fill="D4A017" w:val="clear"/>
            <w:tcMar>
              <w:top w:type="dxa" w:w="100"/>
              <w:left w:type="dxa" w:w="140"/>
              <w:bottom w:type="dxa" w:w="100"/>
              <w:right w:type="dxa" w:w="140"/>
            </w:tcMar>
          </w:tcPr>
          <w:p>
            <w:pPr>
              <w:jc w:val="center"/>
            </w:pPr>
            <w:r>
              <w:rPr>
                <w:rFonts w:ascii="Arial" w:cs="Arial" w:eastAsia="Arial" w:hAnsi="Arial"/>
                <w:b/>
                <w:bCs/>
                <w:color w:val="1B2A4A"/>
                <w:sz w:val="40"/>
                <w:szCs w:val="40"/>
              </w:rPr>
              <w:t xml:space="preserve">$1.2M</w:t>
            </w:r>
          </w:p>
          <w:p>
            <w:pPr>
              <w:jc w:val="center"/>
            </w:pPr>
            <w:r>
              <w:rPr>
                <w:rFonts w:ascii="Arial" w:cs="Arial" w:eastAsia="Arial" w:hAnsi="Arial"/>
                <w:color w:val="1B2A4A"/>
                <w:sz w:val="18"/>
                <w:szCs w:val="18"/>
              </w:rPr>
              <w:t xml:space="preserve">Total Funding Opportunity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7FAFC" w:val="clear"/>
            <w:tcMar>
              <w:top w:type="dxa" w:w="200"/>
              <w:left w:type="dxa" w:w="280"/>
              <w:bottom w:type="dxa" w:w="200"/>
              <w:right w:type="dxa" w:w="280"/>
            </w:tcMar>
          </w:tcPr>
          <w:p>
            <w:pPr>
              <w:pStyle w:val="Heading2"/>
              <w:spacing w:before="320" w:after="120"/>
            </w:pPr>
            <w:r>
              <w:rPr>
                <w:rFonts w:ascii="Arial" w:cs="Arial" w:eastAsia="Arial" w:hAnsi="Arial"/>
                <w:b/>
                <w:bCs/>
                <w:color w:val="0D7377"/>
                <w:sz w:val="28"/>
                <w:szCs w:val="28"/>
              </w:rPr>
              <w:t xml:space="preserve">Section 1 — Sector Intelligence: Q1 2026 Trends</w:t>
            </w:r>
          </w:p>
          <w:p>
            <w:pPr>
              <w:spacing w:before="60" w:after="60"/>
            </w:pPr>
            <w:r>
              <w:rPr>
                <w:rFonts w:ascii="Arial" w:cs="Arial" w:eastAsia="Arial" w:hAnsi="Arial"/>
                <w:b w:val="false"/>
                <w:bCs w:val="false"/>
                <w:i w:val="false"/>
                <w:iCs w:val="false"/>
                <w:color w:val="4A5568"/>
                <w:sz w:val="22"/>
                <w:szCs w:val="22"/>
              </w:rPr>
              <w:t xml:space="preserve">Arizona's philanthropic sector entered 2026 with several structural shifts that directly affect your funding landscape. The passage of the Arizona Nonprofit Transparency Act in late 2025 has increased foundation reporting requirements, creating a brief window where funder priorities are more publicly visible than in prior years — a direct advantage for organizations using intelligence tools to monitor 990 filings.</w:t>
            </w:r>
          </w:p>
          <w:p>
            <w:pPr>
              <w:spacing w:before="60" w:after="60"/>
            </w:pPr>
            <w:r>
              <w:rPr>
                <w:rFonts w:ascii="Arial" w:cs="Arial" w:eastAsia="Arial" w:hAnsi="Arial"/>
                <w:b w:val="false"/>
                <w:bCs w:val="false"/>
                <w:i w:val="false"/>
                <w:iCs w:val="false"/>
                <w:color w:val="4A5568"/>
                <w:sz w:val="22"/>
                <w:szCs w:val="22"/>
              </w:rPr>
              <w:t xml:space="preserve">Three trend signals your board should be aware of this quarter: (1) Health equity funders are consolidating around 'social determinants' framing, moving away from direct service grants toward systems-change language. Organizations should audit their grant narratives for alignment. (2) Two major Arizona foundations — ACF and the Flinn Foundation — have announced multi-year cohort models that reduce open competitions in 2026. Relationship-building with program officers is now a strategic priority. (3) Federal pass-through funding through AZ Department of Health Services increased 22% in Q1, creating new sub-granting opportunities for community-anchored nonprofits.</w:t>
            </w:r>
          </w:p>
          <w:p>
            <w:pPr>
              <w:spacing w:before="80" w:after="0"/>
            </w:pPr>
          </w:p>
          <w:p>
            <w:pPr>
              <w:pStyle w:val="Heading2"/>
              <w:spacing w:before="320" w:after="120"/>
            </w:pPr>
            <w:r>
              <w:rPr>
                <w:rFonts w:ascii="Arial" w:cs="Arial" w:eastAsia="Arial" w:hAnsi="Arial"/>
                <w:b/>
                <w:bCs/>
                <w:color w:val="0D7377"/>
                <w:sz w:val="28"/>
                <w:szCs w:val="28"/>
              </w:rPr>
              <w:t xml:space="preserve">Section 2 — Top 3 Strategic Funding Recommendations</w:t>
            </w:r>
          </w:p>
          <w:p>
            <w:pPr>
              <w:spacing w:before="60" w:after="60"/>
            </w:pPr>
            <w:r>
              <w:rPr>
                <w:rFonts w:ascii="Arial" w:cs="Arial" w:eastAsia="Arial" w:hAnsi="Arial"/>
                <w:b w:val="false"/>
                <w:bCs w:val="false"/>
                <w:i w:val="false"/>
                <w:iCs w:val="false"/>
                <w:color w:val="4A5568"/>
                <w:sz w:val="22"/>
                <w:szCs w:val="22"/>
              </w:rPr>
              <w:t xml:space="preserve">Based on the Mission-Match Engine analysis and the Q1 990 Funder Audit, your organization has three high-confidence funding opportunities to prioritize this quarter. Each recommendation includes the Strategic Fit Score, recommended action, and target ask amount.</w:t>
            </w:r>
          </w:p>
          <w:p>
            <w:pPr>
              <w:spacing w:before="80"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000"/>
              <w:gridCol w:w="20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FUNDER / GRANT</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FIT SCORE</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RECOMMENDED ASK</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1</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1B2A4A"/>
                      <w:sz w:val="19"/>
                      <w:szCs w:val="19"/>
                    </w:rPr>
                    <w:t xml:space="preserve">W.K. Kellogg Foundation — Community Healing Initiative (Deadline: Apr 15)</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92 / HIGH</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$150,000</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2</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B2A4A"/>
                      <w:sz w:val="19"/>
                      <w:szCs w:val="19"/>
                    </w:rPr>
                    <w:t xml:space="preserve">AZ Community Foundation — Youth Opportunity Fund (LOI Window Open)</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88 / HIGH</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$75,000</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3</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1B2A4A"/>
                      <w:sz w:val="19"/>
                      <w:szCs w:val="19"/>
                    </w:rPr>
                    <w:t xml:space="preserve">Flinn Foundation — Civic Engagement Cohort (Applications close May 30)</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D4A017"/>
                      <w:sz w:val="19"/>
                      <w:szCs w:val="19"/>
                    </w:rPr>
                    <w:t xml:space="preserve">81 / MEDIUM</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$50,000</w:t>
                  </w:r>
                </w:p>
              </w:tc>
            </w:tr>
          </w:tbl>
          <w:p/>
        </w:tc>
      </w:tr>
    </w:tbl>
    <w:p>
      <w:pPr>
        <w:spacing w:before="40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r>
              <w:rPr>
                <w:rFonts w:ascii="Arial" w:cs="Arial" w:eastAsia="Arial" w:hAnsi="Arial"/>
                <w:b/>
                <w:bCs/>
                <w:color w:val="FFFFFF"/>
                <w:sz w:val="30"/>
                <w:szCs w:val="30"/>
              </w:rPr>
              <w:t xml:space="preserve">SECTION 8</w:t>
            </w:r>
          </w:p>
          <w:p>
            <w:r>
              <w:rPr>
                <w:rFonts w:ascii="Arial" w:cs="Arial" w:eastAsia="Arial" w:hAnsi="Arial"/>
                <w:color w:val="A0AEC0"/>
                <w:sz w:val="20"/>
                <w:szCs w:val="20"/>
              </w:rPr>
              <w:t xml:space="preserve">Antigravity Prompt Sequences &amp; 12-Week Build Roadmap</w:t>
            </w:r>
          </w:p>
        </w:tc>
      </w:tr>
    </w:tbl>
    <w:p>
      <w:pPr>
        <w:spacing w:before="200" w:after="0"/>
      </w:pPr>
    </w:p>
    <w:p>
      <w:pPr>
        <w:pStyle w:val="Heading1"/>
        <w:pBdr>
          <w:bottom w:val="single" w:color="0D7377" w:sz="8" w:space="6"/>
        </w:pBdr>
        <w:spacing w:before="400" w:after="160"/>
      </w:pPr>
      <w:r>
        <w:rPr>
          <w:rFonts w:ascii="Arial" w:cs="Arial" w:eastAsia="Arial" w:hAnsi="Arial"/>
          <w:b/>
          <w:bCs/>
          <w:color w:val="1B2A4A"/>
          <w:sz w:val="36"/>
          <w:szCs w:val="36"/>
        </w:rPr>
        <w:t xml:space="preserve">Antigravity Initial Prompt Sequence — Start Here</w:t>
      </w:r>
    </w:p>
    <w:p>
      <w:pPr>
        <w:spacing w:before="60" w:after="60"/>
      </w:pPr>
      <w:r>
        <w:rPr>
          <w:rFonts w:ascii="Arial" w:cs="Arial" w:eastAsia="Arial" w:hAnsi="Arial"/>
          <w:b w:val="false"/>
          <w:bCs w:val="false"/>
          <w:i w:val="false"/>
          <w:iCs w:val="false"/>
          <w:color w:val="4A5568"/>
          <w:sz w:val="22"/>
          <w:szCs w:val="22"/>
        </w:rPr>
        <w:t xml:space="preserve">Use these prompts in sequence inside Antigravity's Agent Manager. Each prompt builds on the infrastructure established by the previous one. Do not skip ahead — each agent depends on the data structures created in prior steps.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MASTER SETUP PROMPT (Enter first in Antigravity):
"I am building a nonprofit grant intelligence platform called The Grant Capture Engine. The system has four core agents: (1) Intake &amp; Profiling, (2) Mission-Match Engine, (3) Strategic Fit Score, and (4) 990 Funder Audit. All data is stored in Supabase. The front-end is a React/Next.js dashboard deployed to Vercel. Newsletter delivery is via Beehiiv API. Please create the initial Supabase schema with the following tables: subscriber_profiles, grants_raw, grant_matches, funder_profiles, liquidity_alerts, drafting_kits, board_briefs. For each table, define the fields I described and create the relationships. Generate the SQL migration script and confirm the schema is ready before proceeding to agent builds."</w:t>
            </w:r>
          </w:p>
        </w:tc>
      </w:tr>
    </w:tbl>
    <w:p>
      <w:pPr>
        <w:spacing w:before="160" w:after="0"/>
      </w:pPr>
    </w:p>
    <w:p>
      <w:pPr>
        <w:pStyle w:val="Heading2"/>
        <w:spacing w:before="320" w:after="120"/>
      </w:pPr>
      <w:r>
        <w:rPr>
          <w:rFonts w:ascii="Arial" w:cs="Arial" w:eastAsia="Arial" w:hAnsi="Arial"/>
          <w:b/>
          <w:bCs/>
          <w:color w:val="0D7377"/>
          <w:sz w:val="28"/>
          <w:szCs w:val="28"/>
        </w:rPr>
        <w:t xml:space="preserve">12-Week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BUILD TASKS</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1–2</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Foundation</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Supabase schema setup, Beehiiv account + Audience configuration, domain + hosting setup (Vercel), Antigravity project initialization, ProPublica API key, grant database seed (first 100 funders manually curated)</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4A085"/>
                <w:sz w:val="19"/>
                <w:szCs w:val="19"/>
              </w:rPr>
              <w:t xml:space="preserve">Infrastructure live</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3–4</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Agent 1 Build</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Intake &amp; Profiling Agent in Antigravity. Subscriber onboarding form (Typeform or custom). Supabase write functions. Profile classification logic. Test with 5 sample org profiles.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4A085"/>
                <w:sz w:val="19"/>
                <w:szCs w:val="19"/>
              </w:rPr>
              <w:t xml:space="preserve">Onboarding flow live</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5–6</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Agent 2 Build</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Mission-Match Engine. Sentence-transformer embedding setup. Daily cron scheduling. Grant data scrapers for 10 foundation websites. First batch match run.</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4A085"/>
                <w:sz w:val="19"/>
                <w:szCs w:val="19"/>
              </w:rPr>
              <w:t xml:space="preserve">Matching engine operational</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7</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Agent 3 Build</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Strategic Fit Score algorithm. 8-dimension scoring model. Rationale generation prompt. Test scoring against real grant-org pairs. Calibrate weights.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4A085"/>
                <w:sz w:val="19"/>
                <w:szCs w:val="19"/>
              </w:rPr>
              <w:t xml:space="preserve">Fit Scores generating</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8</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Agent 4 Build</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990 Funder Audit Agent. ProPublica API integration. Underspend calculation logic. Hidden Liquidity alert generation. Weekly cron setup.</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4A085"/>
                <w:sz w:val="19"/>
                <w:szCs w:val="19"/>
              </w:rPr>
              <w:t xml:space="preserve">990 audit running</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9</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Dashboard Build</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React dashboard front-end. Grant Match Feed component. Fit Score detail view. Funder Profile pages. Authentication via Clerk. Connect to Supabase backend.</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4A085"/>
                <w:sz w:val="19"/>
                <w:szCs w:val="19"/>
              </w:rPr>
              <w:t xml:space="preserve">Dashboard MVP live</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10</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Newsletter System</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Beehiiv integration. Newsletter template build. Auto-population of weekly grant alerts from database. Sector Pulse section. Subject line A/B testing setup.</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4A085"/>
                <w:sz w:val="19"/>
                <w:szCs w:val="19"/>
              </w:rPr>
              <w:t xml:space="preserve">First issue ready to send</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11</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B2A4A"/>
                <w:sz w:val="19"/>
                <w:szCs w:val="19"/>
              </w:rPr>
              <w:t xml:space="preserve">Beta Launch</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Invite 20 nonprofit EDs for free beta. Gather feedback on Fit Score quality, dashboard UX, and grant relevance. Refine agent prompts based on real org feedback.</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14A085"/>
                <w:sz w:val="19"/>
                <w:szCs w:val="19"/>
              </w:rPr>
              <w:t xml:space="preserve">Beta cohort onboarded</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pPr>
              <w:jc w:val="center"/>
            </w:pPr>
            <w:r>
              <w:rPr>
                <w:rFonts w:ascii="Arial" w:cs="Arial" w:eastAsia="Arial" w:hAnsi="Arial"/>
                <w:b/>
                <w:bCs/>
                <w:color w:val="0D7377"/>
                <w:sz w:val="19"/>
                <w:szCs w:val="19"/>
              </w:rPr>
              <w:t xml:space="preserve">12</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1B2A4A"/>
                <w:sz w:val="19"/>
                <w:szCs w:val="19"/>
              </w:rPr>
              <w:t xml:space="preserve">Revenue Launch</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Stripe payment integration. Tier 1 ($99/mo) and Tier 2 ($299/mo) subscriptions live. Board-Ready Brief one-time purchase ($500) activated. LinkedIn launch campaign.</w:t>
            </w:r>
          </w:p>
        </w:tc>
        <w:tc>
          <w:tcPr>
            <w:tcBorders>
              <w:top w:val="single" w:color="CBD5E0" w:sz="1"/>
              <w:left w:val="single" w:color="CBD5E0" w:sz="1"/>
              <w:bottom w:val="single" w:color="CBD5E0" w:sz="1"/>
              <w:right w:val="single" w:color="CBD5E0" w:sz="1"/>
            </w:tcBorders>
            <w:shd w:fill="FDF6E3" w:val="clear"/>
            <w:tcMar>
              <w:top w:type="dxa" w:w="100"/>
              <w:left w:type="dxa" w:w="140"/>
              <w:bottom w:type="dxa" w:w="100"/>
              <w:right w:type="dxa" w:w="140"/>
            </w:tcMar>
          </w:tcPr>
          <w:p>
            <w:r>
              <w:rPr>
                <w:rFonts w:ascii="Arial" w:cs="Arial" w:eastAsia="Arial" w:hAnsi="Arial"/>
                <w:b/>
                <w:bCs/>
                <w:color w:val="D4A017"/>
                <w:sz w:val="19"/>
                <w:szCs w:val="19"/>
              </w:rPr>
              <w:t xml:space="preserve">REVENUE LIVE 🚀</w:t>
            </w:r>
          </w:p>
        </w:tc>
      </w:tr>
    </w:tbl>
    <w:p>
      <w:pPr>
        <w:spacing w:before="240" w:after="0"/>
      </w:pPr>
    </w:p>
    <w:p>
      <w:pPr>
        <w:pStyle w:val="Heading2"/>
        <w:spacing w:before="320" w:after="120"/>
      </w:pPr>
      <w:r>
        <w:rPr>
          <w:rFonts w:ascii="Arial" w:cs="Arial" w:eastAsia="Arial" w:hAnsi="Arial"/>
          <w:b/>
          <w:bCs/>
          <w:color w:val="0D7377"/>
          <w:sz w:val="28"/>
          <w:szCs w:val="28"/>
        </w:rPr>
        <w:t xml:space="preserve">Subscription 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718096"/>
                <w:sz w:val="19"/>
                <w:szCs w:val="19"/>
              </w:rPr>
              <w:t xml:space="preserve">FREE</w:t>
            </w:r>
          </w:p>
        </w:tc>
        <w:tc>
          <w:tcPr>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D4A017"/>
                <w:sz w:val="19"/>
                <w:szCs w:val="19"/>
              </w:rPr>
              <w:t xml:space="preserve">$0/mo</w:t>
            </w:r>
          </w:p>
        </w:tc>
        <w:tc>
          <w:tcPr>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color w:val="4A5568"/>
                <w:sz w:val="19"/>
                <w:szCs w:val="19"/>
              </w:rPr>
              <w:t xml:space="preserve">Weekly newsletter, top 3 national grant alerts (no Fit Scores), sector pulse section</w:t>
            </w:r>
          </w:p>
        </w:tc>
        <w:tc>
          <w:tcPr>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i/>
                <w:iCs/>
                <w:color w:val="1B2A4A"/>
                <w:sz w:val="19"/>
                <w:szCs w:val="19"/>
              </w:rPr>
              <w:t xml:space="preserve">Growth / Lead Gen</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CORE</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D4A017"/>
                <w:sz w:val="19"/>
                <w:szCs w:val="19"/>
              </w:rPr>
              <w:t xml:space="preserve">$99/mo</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Free + Full personalized grant match feed, Fit Score breakdowns, Hidden Liquidity alerts, Funder Profile pages</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19"/>
                <w:szCs w:val="19"/>
              </w:rPr>
              <w:t xml:space="preserve">Solo EDs / Small orgs</w:t>
            </w:r>
          </w:p>
        </w:tc>
      </w:tr>
      <w:tr>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0D7377"/>
                <w:sz w:val="19"/>
                <w:szCs w:val="19"/>
              </w:rPr>
              <w:t xml:space="preserve">GROWTH</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b/>
                <w:bCs/>
                <w:color w:val="D4A017"/>
                <w:sz w:val="19"/>
                <w:szCs w:val="19"/>
              </w:rPr>
              <w:t xml:space="preserve">$299/mo</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color w:val="4A5568"/>
                <w:sz w:val="19"/>
                <w:szCs w:val="19"/>
              </w:rPr>
              <w:t xml:space="preserve">Core + Monthly Drafting Kit, priority deadline alerts, Funder relationship notes (CRM), quarterly Board-Ready Brief included</w:t>
            </w:r>
          </w:p>
        </w:tc>
        <w:tc>
          <w:tcPr>
            <w:tcBorders>
              <w:top w:val="single" w:color="CBD5E0" w:sz="1"/>
              <w:left w:val="single" w:color="CBD5E0" w:sz="1"/>
              <w:bottom w:val="single" w:color="CBD5E0" w:sz="1"/>
              <w:right w:val="single" w:color="CBD5E0" w:sz="1"/>
            </w:tcBorders>
            <w:shd w:fill="E8F5F3" w:val="clear"/>
            <w:tcMar>
              <w:top w:type="dxa" w:w="100"/>
              <w:left w:type="dxa" w:w="140"/>
              <w:bottom w:type="dxa" w:w="100"/>
              <w:right w:type="dxa" w:w="140"/>
            </w:tcMar>
          </w:tcPr>
          <w:p>
            <w:r>
              <w:rPr>
                <w:rFonts w:ascii="Arial" w:cs="Arial" w:eastAsia="Arial" w:hAnsi="Arial"/>
                <w:i/>
                <w:iCs/>
                <w:color w:val="1B2A4A"/>
                <w:sz w:val="19"/>
                <w:szCs w:val="19"/>
              </w:rPr>
              <w:t xml:space="preserve">Mid-size orgs $500K+</w:t>
            </w:r>
          </w:p>
        </w:tc>
      </w:tr>
      <w:tr>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7377"/>
                <w:sz w:val="19"/>
                <w:szCs w:val="19"/>
              </w:rPr>
              <w:t xml:space="preserve">BOARD BRIEF</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D4A017"/>
                <w:sz w:val="19"/>
                <w:szCs w:val="19"/>
              </w:rPr>
              <w:t xml:space="preserve">$500 one-time</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Single quarterly Board-Ready Brief PDF — available to any subscriber tier as a standalone purchase</w:t>
            </w:r>
          </w:p>
        </w:tc>
        <w:tc>
          <w:tcPr>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i/>
                <w:iCs/>
                <w:color w:val="1B2A4A"/>
                <w:sz w:val="19"/>
                <w:szCs w:val="19"/>
              </w:rPr>
              <w:t xml:space="preserve">Any subscriber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2"/>
              <w:left w:val="none" w:color="FFFFFF" w:sz="0"/>
              <w:bottom w:val="none" w:color="FFFFFF" w:sz="0"/>
              <w:right w:val="none" w:color="FFFFFF" w:sz="0"/>
            </w:tcBorders>
            <w:shd w:fill="E8F5F3" w:val="clear"/>
            <w:tcMar>
              <w:top w:type="dxa" w:w="140"/>
              <w:left w:type="dxa" w:w="200"/>
              <w:bottom w:type="dxa" w:w="140"/>
              <w:right w:type="dxa" w:w="200"/>
            </w:tcMar>
          </w:tcPr>
          <w:p>
            <w:r>
              <w:rPr>
                <w:rFonts w:ascii="Arial" w:cs="Arial" w:eastAsia="Arial" w:hAnsi="Arial"/>
                <w:i/>
                <w:iCs/>
                <w:color w:val="1B2A4A"/>
                <w:sz w:val="22"/>
                <w:szCs w:val="22"/>
              </w:rPr>
              <w:t xml:space="preserve">The most important thing to build first is not the most complex system — it is the onboarding form and subscriber profile database. Without org profiles, the Mission-Match Engine has nothing to match against. Week 3–4 is your true foundation. Every agent downstream depends on it being built correctly.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pPr>
              <w:jc w:val="center"/>
            </w:pPr>
            <w:r>
              <w:rPr>
                <w:rFonts w:ascii="Arial" w:cs="Arial" w:eastAsia="Arial" w:hAnsi="Arial"/>
                <w:b/>
                <w:bCs/>
                <w:color w:val="14A085"/>
                <w:sz w:val="28"/>
                <w:szCs w:val="28"/>
              </w:rPr>
              <w:t xml:space="preserve">THE GRANT CAPTURE ENGINE</w:t>
            </w:r>
          </w:p>
          <w:p>
            <w:pPr>
              <w:spacing w:before="80" w:after="0"/>
              <w:jc w:val="center"/>
            </w:pPr>
            <w:r>
              <w:rPr>
                <w:rFonts w:ascii="Arial" w:cs="Arial" w:eastAsia="Arial" w:hAnsi="Arial"/>
                <w:i/>
                <w:iCs/>
                <w:color w:val="FFFFFF"/>
                <w:sz w:val="24"/>
                <w:szCs w:val="24"/>
              </w:rPr>
              <w:t xml:space="preserve">You are not building a newsletter. You are building a Private Fundraising Intelligence Network.</w:t>
            </w:r>
          </w:p>
          <w:p>
            <w:pPr>
              <w:spacing w:before="60" w:after="0"/>
              <w:jc w:val="center"/>
            </w:pPr>
            <w:r>
              <w:rPr>
                <w:rFonts w:ascii="Arial" w:cs="Arial" w:eastAsia="Arial" w:hAnsi="Arial"/>
                <w:color w:val="A0AEC0"/>
                <w:sz w:val="20"/>
                <w:szCs w:val="20"/>
              </w:rPr>
              <w:t xml:space="preserve">12 weeks to launch. One system. Four agents. Unlimited leverage.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rFonts w:ascii="Arial" w:cs="Arial" w:eastAsia="Arial" w:hAnsi="Arial"/>
              <w:i/>
              <w:iCs/>
              <w:color w:val="718096"/>
              <w:sz w:val="16"/>
              <w:szCs w:val="16"/>
            </w:rPr>
            <w:t xml:space="preserve">Confidential — Strategic Build Document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718096"/>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Pr>
        <w:p>
          <w:r>
            <w:rPr>
              <w:rFonts w:ascii="Arial" w:cs="Arial" w:eastAsia="Arial" w:hAnsi="Arial"/>
              <w:b/>
              <w:bCs/>
              <w:color w:val="0D7377"/>
              <w:sz w:val="18"/>
              <w:szCs w:val="18"/>
            </w:rPr>
            <w:t xml:space="preserve">THE GRANT CAPTURE ENGINE</w:t>
          </w:r>
        </w:p>
      </w:tc>
      <w:tc>
        <w:tcPr>
          <w:tcBorders>
            <w:top w:val="none" w:color="FFFFFF" w:sz="0"/>
            <w:left w:val="none" w:color="FFFFFF" w:sz="0"/>
            <w:bottom w:val="none" w:color="FFFFFF" w:sz="0"/>
            <w:right w:val="none" w:color="FFFFFF" w:sz="0"/>
          </w:tcBorders>
        </w:tcPr>
        <w:p>
          <w:pPr>
            <w:jc w:val="right"/>
          </w:pPr>
          <w:r>
            <w:rPr>
              <w:rFonts w:ascii="Arial" w:cs="Arial" w:eastAsia="Arial" w:hAnsi="Arial"/>
              <w:i/>
              <w:iCs/>
              <w:color w:val="718096"/>
              <w:sz w:val="18"/>
              <w:szCs w:val="18"/>
            </w:rPr>
            <w:t xml:space="preserve">Master Build Plan &amp; System Architecture</w:t>
          </w:r>
        </w:p>
      </w:tc>
    </w:tr>
  </w:tbl>
  <w:p>
    <w:pPr>
      <w:pBdr>
        <w:bottom w:val="single" w:color="0D7377"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2026-02-27T02:44:50.412Z</dcterms:created>
  <dcterms:modified xsi:type="dcterms:W3CDTF">2026-02-27T02:44:50.413Z</dcterms:modified>
</cp:coreProperties>
</file>

<file path=docProps/custom.xml><?xml version="1.0" encoding="utf-8"?>
<Properties xmlns="http://schemas.openxmlformats.org/officeDocument/2006/custom-properties" xmlns:vt="http://schemas.openxmlformats.org/officeDocument/2006/docPropsVTypes"/>
</file>