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rPr>
          <w:b/>
          <w:sz w:val="28"/>
        </w:rPr>
        <w:t xml:space="preserve">Kestrel Bay Supplies Ltd - Minutes of the Board Meeting</w:t>
      </w:r>
    </w:p>
    <w:p>
      <w:r>
        <w:t xml:space="preserve">Held on 19 March 2026 at 14 Quayside Lane, Bristol, 10:00-13:15. Strictly confidential.</w:t>
      </w:r>
    </w:p>
    <w:p>
      <w:r>
        <w:t xml:space="preserve">Present: Philippa Rowe (Non-executive Chair), Helen Marsh (Chief Executive), Nadia Brennan (Finance Director), Tom Albright (Product Director), Andrew Kilbride (Investor Director).</w:t>
      </w:r>
    </w:p>
    <w:p>
      <w:r>
        <w:t xml:space="preserve">In attendance: Sarah Whitlock (Operations &amp; People Manager) for item 5. Minutes: Chloe Danes.</w:t>
      </w:r>
    </w:p>
    <w:p>
      <w:r>
        <w:rPr>
          <w:b/>
          <w:sz w:val="28"/>
        </w:rPr>
        <w:t xml:space="preserve">1. Apologies and declarations of interest</w:t>
      </w:r>
    </w:p>
    <w:p>
      <w:r>
        <w:t xml:space="preserve">No apologies. No new declarations of interest.</w:t>
      </w:r>
    </w:p>
    <w:p>
      <w:r>
        <w:rPr>
          <w:b/>
          <w:sz w:val="28"/>
        </w:rPr>
        <w:t xml:space="preserve">2. Minutes of the previous meeting</w:t>
      </w:r>
    </w:p>
    <w:p>
      <w:r>
        <w:t xml:space="preserve">The minutes of the meeting held on 11 December 2025 were approved and signed by the Chair. All actions closed except action 12/25-3 (pricing review for marketplaces), carried forward.</w:t>
      </w:r>
    </w:p>
    <w:p>
      <w:r>
        <w:rPr>
          <w:b/>
          <w:sz w:val="28"/>
        </w:rPr>
        <w:t xml:space="preserve">3. Trading update (NB)</w:t>
      </w:r>
    </w:p>
    <w:p>
      <w:r>
        <w:t xml:space="preserve">January and February revenue was £573,400, 2.1% ahead of the phased budget. Online (DTC) is ahead; wholesale is slightly behind because Fenwick Trail Stores delayed its spring order.</w:t>
      </w:r>
    </w:p>
    <w:p>
      <w:r>
        <w:t xml:space="preserve">Gross margin for the two months was 52.4% against a budget of 53.0%, mainly due to clearance of AW25 jackets.</w:t>
      </w:r>
    </w:p>
    <w:p>
      <w:r>
        <w:t xml:space="preserve">Cash at 28 February was £212,418.55. The £400,000 overdraft facility is undrawn and has been renewed until 31 March 2027.</w:t>
      </w:r>
    </w:p>
    <w:p>
      <w:r>
        <w:t xml:space="preserve">The Board noted the Q1 VAT payment in May and the racking payments already made.</w:t>
      </w:r>
    </w:p>
    <w:p>
      <w:r>
        <w:rPr>
          <w:b/>
          <w:sz w:val="28"/>
        </w:rPr>
        <w:t xml:space="preserve">4. Supplier agreement - Northfell Textiles</w:t>
      </w:r>
    </w:p>
    <w:p>
      <w:r>
        <w:t xml:space="preserve">HM reported that the two-year supply agreement with Northfell Textiles Ltd was signed on 2 March 2026. Fabric prices are fixed until March 2027 and the olive colourway is exclusive to us in the UK and Ireland. The minimum commitment is 18,000 metres a year; 2025 volume was 21,300 metres.</w:t>
      </w:r>
    </w:p>
    <w:p>
      <w:r>
        <w:rPr>
          <w:b/>
          <w:sz w:val="28"/>
        </w:rPr>
        <w:t xml:space="preserve">5. Operations - Avonmouth warehouse (SW)</w:t>
      </w:r>
    </w:p>
    <w:p>
      <w:r>
        <w:t xml:space="preserve">The move to Unit 4, Portway Trade Park is complete. Pick rate is up from 62 to 88 lines per hour. Racking is fully paid. Two warehouse vacancies remain open. The Board asked for a peak-season staffing plan by the June meeting.</w:t>
      </w:r>
    </w:p>
    <w:p>
      <w:r>
        <w:rPr>
          <w:b/>
          <w:sz w:val="28"/>
        </w:rPr>
        <w:t xml:space="preserve">6. Product - Ridgeback 2P tent (TA)</w:t>
      </w:r>
    </w:p>
    <w:p>
      <w:r>
        <w:t xml:space="preserve">The specification is close to final. First samples are due in June; launch is planned for 1 February 2027. Target RRP £279 and landed cost £61.50. The Board approved tooling and sample spend of up to £24,000.</w:t>
      </w:r>
    </w:p>
    <w:p>
      <w:r>
        <w:rPr>
          <w:b/>
          <w:sz w:val="28"/>
        </w:rPr>
        <w:t xml:space="preserve">7. Sales pipeline</w:t>
      </w:r>
    </w:p>
    <w:p>
      <w:r>
        <w:t xml:space="preserve">The Brightwater Retail Group listing (38 stores) is at proposal stage, worth about £120,000 in the first season. The Board supported the approach but asked that wholesale margins stay above 45% for the retailer and that our own gross margin on the account is not below 42%.</w:t>
      </w:r>
    </w:p>
    <w:p>
      <w:r>
        <w:rPr>
          <w:b/>
          <w:sz w:val="28"/>
        </w:rPr>
        <w:t xml:space="preserve">8. Risk register</w:t>
      </w:r>
    </w:p>
    <w:p>
      <w:r>
        <w:t xml:space="preserve">Top risks reviewed: dependence on one fabric supplier; carrier performance (Oakridge on-time rate 96.8% against 98.5% SLA); cyber security after a spike in phishing attempts. IT to report on MFA coverage at the next meeting.</w:t>
      </w:r>
    </w:p>
    <w:p>
      <w:r>
        <w:rPr>
          <w:b/>
          <w:sz w:val="28"/>
        </w:rPr>
        <w:t xml:space="preserve">9. Any other business</w:t>
      </w:r>
    </w:p>
    <w:p>
      <w:r>
        <w:t xml:space="preserve">AK asked for a short investor update after the half year. HM to circulate in July.</w:t>
      </w:r>
    </w:p>
    <w:p>
      <w:r>
        <w:rPr>
          <w:b/>
          <w:sz w:val="28"/>
        </w:rPr>
        <w:t xml:space="preserve">Actions</w:t>
      </w:r>
    </w:p>
    <w:p>
      <w:r>
        <w:t xml:space="preserve">03/26-1 Peak staffing plan - SW - June meeting</w:t>
      </w:r>
    </w:p>
    <w:p>
      <w:r>
        <w:t xml:space="preserve">03/26-2 MFA coverage report - Owen Pryce via HM - next meeting</w:t>
      </w:r>
    </w:p>
    <w:p>
      <w:r>
        <w:t xml:space="preserve">03/26-3 H1 investor update - HM - July 2026</w:t>
      </w:r>
    </w:p>
    <w:p>
      <w:r>
        <w:t xml:space="preserve">03/26-4 Brightwater margin check before final proposal - NB / James Corrigan - May 2026</w:t>
      </w:r>
    </w:p>
    <w:p>
      <w:r>
        <w:t xml:space="preserve">Next meeting: 16 July 2026 (Q2 review).</w:t>
      </w:r>
    </w:p>
    <w:p>
      <w:r>
        <w:t xml:space="preserve">Signed as a correct record: ____________________ Chair</w:t>
      </w:r>
    </w:p>
    <w:p/>
    <w:sectPr/>
  </w:body>
</w:document>
</file>

<file path=docProps/core.xml><?xml version="1.0" encoding="utf-8"?>
<cp:coreProperties xmlns:cp="http://schemas.openxmlformats.org/package/2006/metadata/core-properties" xmlns:dc="http://purl.org/dc/elements/1.1/">
  <dc:title>Board minutes 2026-03-19</dc:title>
</cp:coreProperties>
</file>