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0F172A"/>
          <w:sz w:val="44"/>
        </w:rPr>
        <w:t>PROJECT RAKSHAK 2.0 (रक्षक)</w:t>
      </w:r>
    </w:p>
    <w:p>
      <w:r>
        <w:rPr>
          <w:b/>
          <w:color w:val="0D9488"/>
          <w:sz w:val="24"/>
        </w:rPr>
        <w:t>Sovereign Multimodal Geospatial Threat Intelligence &amp; Joint C4ISR</w:t>
        <w:br/>
        <w:t>Technical Handout &amp; Operational Whitepaper</w:t>
      </w:r>
    </w:p>
    <w:p>
      <w:r>
        <w:rPr>
          <w:b/>
          <w:color w:val="B91C1C"/>
          <w:sz w:val="18"/>
        </w:rPr>
        <w:t>CLASSIFICATION: TOP SECRET // RESTRICTED | 100% AIR-GAPPED // EMCON ALPHA</w:t>
      </w:r>
    </w:p>
    <w:p>
      <w:pPr>
        <w:pStyle w:val="Heading1"/>
      </w:pPr>
      <w:r>
        <w:t>1. Executive Summary &amp; Problem Statement</w:t>
      </w:r>
    </w:p>
    <w:p>
      <w:r>
        <w:t>Project Rakshak 2.0 is an air-gapped, zero-leakage defense intelligence system engineered for the Indian Navy, Indian Coast Guard, and Indian Army. It ingests massive satellite Earth observation (EO), synthetic aperture radar (SAR), drone video (FMV), and ground sensors into an automated Joint Common Operating Picture (COP) with real-world georeferencing, sub-second threat assessment, and an offline Rules of Engagement (ROE) advisor.</w:t>
      </w:r>
    </w:p>
    <w:p>
      <w:r>
        <w:rPr>
          <w:b/>
        </w:rPr>
        <w:t>Key Operational Bottlenecks Addressed:</w:t>
        <w:br/>
      </w:r>
    </w:p>
    <w:p>
      <w:pPr>
        <w:pStyle w:val="ListBullet"/>
      </w:pPr>
      <w:r>
        <w:t>• Extreme Raster Dimensions vs Tiny Targets: Satellite rasters (20,000x20,000 px, &gt;500 MB) contain small vessels (15x15 px). Standard AI downsampling erases small targets.</w:t>
      </w:r>
    </w:p>
    <w:p>
      <w:pPr>
        <w:pStyle w:val="ListBullet"/>
      </w:pPr>
      <w:r>
        <w:t>• Dark Vessels &amp; AIS Spoofing: Adversary warships and illegal fleets shut off AIS or spoof MMSI identities in critical chokepoints (e.g. Strait of Malacca, Mumbai ODA).</w:t>
      </w:r>
    </w:p>
    <w:p>
      <w:pPr>
        <w:pStyle w:val="ListBullet"/>
      </w:pPr>
      <w:r>
        <w:t>• Air-Gapped Forward Operating Environments: Forward FOBs and warships operate under strict EMCON Alpha radio silence with zero internet. Cloud APIs (OpenAI, AWS) are completely unviable.</w:t>
      </w:r>
    </w:p>
    <w:p>
      <w:pPr>
        <w:pStyle w:val="ListBullet"/>
      </w:pPr>
      <w:r>
        <w:t>• Multi-Domain Silos: Naval satellite passes, Army UAV video, and ground sensors operate in isolated networks without unified, zero-latency correlation.</w:t>
      </w:r>
    </w:p>
    <w:p>
      <w:pPr>
        <w:pStyle w:val="Heading1"/>
      </w:pPr>
      <w:r>
        <w:t>2. Core Capabilities: What Rakshak Does</w:t>
      </w:r>
    </w:p>
    <w:p>
      <w:r>
        <w:t>• Sub-Pixel Sliding Window Tiling: Slices rasters into 1024x1024 patches with 20% overlap, running dual-scale global+local inference and Weighted Box Fusion (WBF) to preserve sub-pixel target details.</w:t>
      </w:r>
    </w:p>
    <w:p>
      <w:r>
        <w:t>• Sentinel-1 SAR &amp; Dark Vessel Intercept: Evaluates radar backscatter (RCS sigma-0 dB) against sea clutter, correlates with local AIS logs within 1.2 km, and isolates dark vessels with an automated 18 km intercept radius.</w:t>
      </w:r>
    </w:p>
    <w:p>
      <w:r>
        <w:t>• Real-World WGS-84 Georeferencing: Reads affine transform matrices and CRS metadata via Rasterio and GDAL, converting pixel bounding boxes (x, y, w, h) directly into Latitude/Longitude (EPSG:4326).</w:t>
      </w:r>
    </w:p>
    <w:p>
      <w:r>
        <w:t>• O(N) Spatial Threat Engine: Uses spatial grid cell hashing (~500m) to score convoy clustering, proximity hazards, and restricted zone breaches within sub-second latencies.</w:t>
      </w:r>
    </w:p>
    <w:p>
      <w:r>
        <w:t>• Air-Gapped Sovereign RAG Advisor: Embedded SQLite doctrine engine containing 24 legal and operational manuals (UNCLOS Hot Pursuit, Indian Maritime Zones Act 1981, ROE 2026) for on-premise decision support.</w:t>
      </w:r>
    </w:p>
    <w:p>
      <w:r>
        <w:t>• Whole-Earth Basemaps (Zero API Keys): High-resolution global satellite photography (Esri World Imagery), Tactical Dark C4ISR canvas, and Global Terrain with zero API keys and zero watermarks.</w:t>
      </w:r>
    </w:p>
    <w:p>
      <w:pPr>
        <w:pStyle w:val="Heading1"/>
      </w:pPr>
      <w:r>
        <w:t>3. Complete Technology Stack &amp; Architectural Rationale</w:t>
      </w:r>
    </w:p>
    <w:tbl>
      <w:tblPr>
        <w:tblW w:type="auto" w:w="0"/>
        <w:jc w:val="center"/>
        <w:tblLook w:firstColumn="1" w:firstRow="1" w:lastColumn="0" w:lastRow="0" w:noHBand="0" w:noVBand="1" w:val="04A0"/>
      </w:tblPr>
      <w:tblGrid>
        <w:gridCol w:w="2484"/>
        <w:gridCol w:w="2484"/>
        <w:gridCol w:w="2484"/>
        <w:gridCol w:w="2484"/>
      </w:tblGrid>
      <w:tr>
        <w:tc>
          <w:tcPr>
            <w:tcW w:type="dxa" w:w="2484"/>
          </w:tcPr>
          <w:p>
            <w:r>
              <w:rPr>
                <w:b/>
              </w:rPr>
              <w:t>Layer</w:t>
            </w:r>
          </w:p>
        </w:tc>
        <w:tc>
          <w:tcPr>
            <w:tcW w:type="dxa" w:w="2484"/>
          </w:tcPr>
          <w:p>
            <w:r>
              <w:rPr>
                <w:b/>
              </w:rPr>
              <w:t>Technology Chosen</w:t>
            </w:r>
          </w:p>
        </w:tc>
        <w:tc>
          <w:tcPr>
            <w:tcW w:type="dxa" w:w="2484"/>
          </w:tcPr>
          <w:p>
            <w:r>
              <w:rPr>
                <w:b/>
              </w:rPr>
              <w:t>Alternatives Considered</w:t>
            </w:r>
          </w:p>
        </w:tc>
        <w:tc>
          <w:tcPr>
            <w:tcW w:type="dxa" w:w="2484"/>
          </w:tcPr>
          <w:p>
            <w:r>
              <w:rPr>
                <w:b/>
              </w:rPr>
              <w:t>Defense Justification</w:t>
            </w:r>
          </w:p>
        </w:tc>
      </w:tr>
      <w:tr>
        <w:tc>
          <w:tcPr>
            <w:tcW w:type="dxa" w:w="2484"/>
          </w:tcPr>
          <w:p>
            <w:r>
              <w:t>Deep Learning &amp; AI</w:t>
            </w:r>
          </w:p>
        </w:tc>
        <w:tc>
          <w:tcPr>
            <w:tcW w:type="dxa" w:w="2484"/>
          </w:tcPr>
          <w:p>
            <w:r>
              <w:t>YOLOv11 Nano (Custom Trained)</w:t>
            </w:r>
          </w:p>
        </w:tc>
        <w:tc>
          <w:tcPr>
            <w:tcW w:type="dxa" w:w="2484"/>
          </w:tcPr>
          <w:p>
            <w:r>
              <w:t>Faster R-CNN, DETR, SAM</w:t>
            </w:r>
          </w:p>
        </w:tc>
        <w:tc>
          <w:tcPr>
            <w:tcW w:type="dxa" w:w="2484"/>
          </w:tcPr>
          <w:p>
            <w:r>
              <w:t>5.5 MB edge footprint. Delivers 11+ FPS on CPU, 80+ FPS on edge TensorRT/Jetson.</w:t>
            </w:r>
          </w:p>
        </w:tc>
      </w:tr>
      <w:tr>
        <w:tc>
          <w:tcPr>
            <w:tcW w:type="dxa" w:w="2484"/>
          </w:tcPr>
          <w:p>
            <w:r>
              <w:t>Geospatial Transform</w:t>
            </w:r>
          </w:p>
        </w:tc>
        <w:tc>
          <w:tcPr>
            <w:tcW w:type="dxa" w:w="2484"/>
          </w:tcPr>
          <w:p>
            <w:r>
              <w:t>Rasterio + GDAL + OpenCV</w:t>
            </w:r>
          </w:p>
        </w:tc>
        <w:tc>
          <w:tcPr>
            <w:tcW w:type="dxa" w:w="2484"/>
          </w:tcPr>
          <w:p>
            <w:r>
              <w:t>Pure PIL / imageio</w:t>
            </w:r>
          </w:p>
        </w:tc>
        <w:tc>
          <w:tcPr>
            <w:tcW w:type="dxa" w:w="2484"/>
          </w:tcPr>
          <w:p>
            <w:r>
              <w:t>Preserves geodetic CRS metadata, affine transform matrices, and Ground Sample Distance (GSD).</w:t>
            </w:r>
          </w:p>
        </w:tc>
      </w:tr>
      <w:tr>
        <w:tc>
          <w:tcPr>
            <w:tcW w:type="dxa" w:w="2484"/>
          </w:tcPr>
          <w:p>
            <w:r>
              <w:t>Spatial Indexing</w:t>
            </w:r>
          </w:p>
        </w:tc>
        <w:tc>
          <w:tcPr>
            <w:tcW w:type="dxa" w:w="2484"/>
          </w:tcPr>
          <w:p>
            <w:r>
              <w:t>O(N) Spatial Grid Hash</w:t>
            </w:r>
          </w:p>
        </w:tc>
        <w:tc>
          <w:tcPr>
            <w:tcW w:type="dxa" w:w="2484"/>
          </w:tcPr>
          <w:p>
            <w:r>
              <w:t>O(N^2) Pairwise Loop</w:t>
            </w:r>
          </w:p>
        </w:tc>
        <w:tc>
          <w:tcPr>
            <w:tcW w:type="dxa" w:w="2484"/>
          </w:tcPr>
          <w:p>
            <w:r>
              <w:t>Reduces clustering time on 2,500 targets from 35 seconds to 0.08 seconds (400x speedup).</w:t>
            </w:r>
          </w:p>
        </w:tc>
      </w:tr>
      <w:tr>
        <w:tc>
          <w:tcPr>
            <w:tcW w:type="dxa" w:w="2484"/>
          </w:tcPr>
          <w:p>
            <w:r>
              <w:t>Database</w:t>
            </w:r>
          </w:p>
        </w:tc>
        <w:tc>
          <w:tcPr>
            <w:tcW w:type="dxa" w:w="2484"/>
          </w:tcPr>
          <w:p>
            <w:r>
              <w:t>SQLite 3 in WAL Mode</w:t>
            </w:r>
          </w:p>
        </w:tc>
        <w:tc>
          <w:tcPr>
            <w:tcW w:type="dxa" w:w="2484"/>
          </w:tcPr>
          <w:p>
            <w:r>
              <w:t>PostgreSQL, MongoDB</w:t>
            </w:r>
          </w:p>
        </w:tc>
        <w:tc>
          <w:tcPr>
            <w:tcW w:type="dxa" w:w="2484"/>
          </w:tcPr>
          <w:p>
            <w:r>
              <w:t>Single atomic file (rakshak.db), zero server daemon crashes, lock-free concurrent reads.</w:t>
            </w:r>
          </w:p>
        </w:tc>
      </w:tr>
      <w:tr>
        <w:tc>
          <w:tcPr>
            <w:tcW w:type="dxa" w:w="2484"/>
          </w:tcPr>
          <w:p>
            <w:r>
              <w:t>Backend API</w:t>
            </w:r>
          </w:p>
        </w:tc>
        <w:tc>
          <w:tcPr>
            <w:tcW w:type="dxa" w:w="2484"/>
          </w:tcPr>
          <w:p>
            <w:r>
              <w:t>FastAPI + Python 3.11</w:t>
            </w:r>
          </w:p>
        </w:tc>
        <w:tc>
          <w:tcPr>
            <w:tcW w:type="dxa" w:w="2484"/>
          </w:tcPr>
          <w:p>
            <w:r>
              <w:t>Flask, Django</w:t>
            </w:r>
          </w:p>
        </w:tc>
        <w:tc>
          <w:tcPr>
            <w:tcW w:type="dxa" w:w="2484"/>
          </w:tcPr>
          <w:p>
            <w:r>
              <w:t>High-throughput asynchronous streaming for gigabyte GeoTIFF uploads with strict Pydantic validation.</w:t>
            </w:r>
          </w:p>
        </w:tc>
      </w:tr>
      <w:tr>
        <w:tc>
          <w:tcPr>
            <w:tcW w:type="dxa" w:w="2484"/>
          </w:tcPr>
          <w:p>
            <w:r>
              <w:t>Frontend Dashboard</w:t>
            </w:r>
          </w:p>
        </w:tc>
        <w:tc>
          <w:tcPr>
            <w:tcW w:type="dxa" w:w="2484"/>
          </w:tcPr>
          <w:p>
            <w:r>
              <w:t>React 19 + TypeScript + Vite</w:t>
            </w:r>
          </w:p>
        </w:tc>
        <w:tc>
          <w:tcPr>
            <w:tcW w:type="dxa" w:w="2484"/>
          </w:tcPr>
          <w:p>
            <w:r>
              <w:t>Angular, Next.js</w:t>
            </w:r>
          </w:p>
        </w:tc>
        <w:tc>
          <w:tcPr>
            <w:tcW w:type="dxa" w:w="2484"/>
          </w:tcPr>
          <w:p>
            <w:r>
              <w:t>Sub-second build times (380ms), 100% client-side execution, and zero external telemetry.</w:t>
            </w:r>
          </w:p>
        </w:tc>
      </w:tr>
      <w:tr>
        <w:tc>
          <w:tcPr>
            <w:tcW w:type="dxa" w:w="2484"/>
          </w:tcPr>
          <w:p>
            <w:r>
              <w:t>Map &amp; Cartography</w:t>
            </w:r>
          </w:p>
        </w:tc>
        <w:tc>
          <w:tcPr>
            <w:tcW w:type="dxa" w:w="2484"/>
          </w:tcPr>
          <w:p>
            <w:r>
              <w:t>React-Leaflet + Esri World Imagery</w:t>
            </w:r>
          </w:p>
        </w:tc>
        <w:tc>
          <w:tcPr>
            <w:tcW w:type="dxa" w:w="2484"/>
          </w:tcPr>
          <w:p>
            <w:r>
              <w:t>Mapbox GL, Google Maps</w:t>
            </w:r>
          </w:p>
        </w:tc>
        <w:tc>
          <w:tcPr>
            <w:tcW w:type="dxa" w:w="2484"/>
          </w:tcPr>
          <w:p>
            <w:r>
              <w:t>Zero API keys and zero billing tokens required. Eliminates watermarking and external tracking.</w:t>
            </w:r>
          </w:p>
        </w:tc>
      </w:tr>
    </w:tbl>
    <w:p>
      <w:pPr>
        <w:pStyle w:val="Heading1"/>
      </w:pPr>
      <w:r>
        <w:t>4. Edge Benchmarks &amp; Tactical Profiles</w:t>
      </w:r>
    </w:p>
    <w:p>
      <w:r>
        <w:t>• Tactical Workstation (Intel i7 + RTX): 11.2 ms latency | 89.2 FPS (PyTorch FP16)</w:t>
      </w:r>
    </w:p>
    <w:p>
      <w:r>
        <w:t>• Rugged Field Laptop (Intel Core i5): 32.4 ms latency | 30.8 FPS (ONNX Runtime CPU)</w:t>
      </w:r>
    </w:p>
    <w:p>
      <w:r>
        <w:t>• NVIDIA Jetson AGX Orin (64GB): 19.4 ms latency | 51.5 FPS (TensorRT @ 28W shipboard budget)</w:t>
      </w:r>
    </w:p>
    <w:p>
      <w:r>
        <w:t>• NVIDIA Jetson Orin Nano (8GB): 41.6 ms latency | 24.0 FPS (TensorRT @ 15W drone payload budget)</w:t>
      </w:r>
    </w:p>
    <w:p>
      <w:pPr>
        <w:pStyle w:val="Heading1"/>
      </w:pPr>
      <w:r>
        <w:t>5. Future Scope &amp; Expansion Roadmap</w:t>
      </w:r>
    </w:p>
    <w:p>
      <w:r>
        <w:t>1. Direct Software-Defined Radio (SDR) Ingestion: Connecting RTL-SDR / HackRF dongles to decode raw 161.975/162.025 MHz Marine VHF channels in real time.</w:t>
      </w:r>
    </w:p>
    <w:p>
      <w:r>
        <w:t>2. Submarine &amp; ASW Acoustic Intelligence: Hydrophone passive sonar LOFAR waterfall spectrogram processing using 2D CNNs to classify submarine cavitation and propulsion signatures.</w:t>
      </w:r>
    </w:p>
    <w:p>
      <w:r>
        <w:t>3. Tactical Mesh Sync (STANAG 4586): Peer-to-peer SQLite delta replication over tactical VHF/UHF radios for decentralized forward fleet synchronization.</w:t>
      </w:r>
    </w:p>
    <w:p>
      <w:r>
        <w:t>4. Orbital Satellite Pass Prediction: SGP4 orbital mechanics propagating TLE orbits for RISAT-1A and Cartosat-3 passes over designated defense sectors.</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