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942"/>
          <w:sz w:val="48"/>
        </w:rPr>
        <w:t>PROJECT RAKSHAK 2.0 (?????)</w:t>
      </w:r>
    </w:p>
    <w:p>
      <w:pPr>
        <w:spacing w:after="240"/>
      </w:pPr>
      <w:r>
        <w:rPr>
          <w:rFonts w:ascii="Calibri" w:hAnsi="Calibri"/>
          <w:i/>
          <w:color w:val="1E4E79"/>
          <w:sz w:val="26"/>
        </w:rPr>
        <w:t>Sovereign Multimodal Geospatial Threat Intelligence &amp; Joint C4ISR Console</w:t>
        <w:br/>
      </w:r>
      <w:r>
        <w:rPr>
          <w:rFonts w:ascii="Calibri" w:hAnsi="Calibri"/>
          <w:color w:val="64748B"/>
          <w:sz w:val="20"/>
        </w:rPr>
        <w:t>Target Users: Indian Navy, Indian Army, Coast Guard | Status: Functional Edge Prototype | Air-Gapped Ready</w:t>
      </w:r>
    </w:p>
    <w:p>
      <w:pPr>
        <w:spacing w:after="200"/>
      </w:pPr>
      <w:r>
        <w:rPr>
          <w:color w:val="CBD5E1"/>
        </w:rPr>
        <w:t>???????????????????????????????????????????????????????</w:t>
      </w:r>
    </w:p>
    <w:tbl>
      <w:tblPr>
        <w:tblW w:type="auto" w:w="0"/>
        <w:jc w:val="center"/>
        <w:tblLook w:firstColumn="1" w:firstRow="1" w:lastColumn="0" w:lastRow="0" w:noHBand="0" w:noVBand="1" w:val="04A0"/>
      </w:tblPr>
      <w:tblGrid>
        <w:gridCol w:w="9936"/>
      </w:tblGrid>
      <w:tr>
        <w:tc>
          <w:tcPr>
            <w:tcW w:type="dxa" w:w="9936"/>
            <w:shd w:fill="F0F9FF"/>
            <w:tcMar>
              <w:top w:w="160" w:type="dxa"/>
              <w:bottom w:w="160" w:type="dxa"/>
              <w:left w:w="200" w:type="dxa"/>
              <w:right w:w="200" w:type="dxa"/>
            </w:tcMar>
          </w:tcPr>
          <w:p>
            <w:pPr>
              <w:spacing w:after="80"/>
            </w:pPr>
            <w:r>
              <w:rPr>
                <w:b/>
                <w:color w:val="0F2942"/>
                <w:sz w:val="22"/>
              </w:rPr>
              <w:t>EXECUTIVE SUMMARY (The 30-Second Pitch)</w:t>
              <w:br/>
            </w:r>
            <w:r>
              <w:rPr>
                <w:color w:val="2D3748"/>
                <w:sz w:val="20"/>
              </w:rPr>
              <w:t>Project Rakshak 2.0 is a 100% sovereign, air-gapped defense intelligence platform protected by a zero-leakage cryptographic JWT gateway. It ingests massive satellite imagery, live drone video, radar (SAR), and ground sensor intercepts, operating completely offline inside a warship or forward bunker. It detects tiny military targets (vessels, vehicles, aircraft, infrastructure), flags illegal 'dark vessels' with transponders off, and calculates threat scores in milliseconds on edge hardware (NVIDIA Jetson) with zero external internet requirements.</w:t>
            </w:r>
          </w:p>
        </w:tc>
      </w:tr>
    </w:tbl>
    <w:p>
      <w:pPr>
        <w:spacing w:before="280" w:after="80"/>
      </w:pPr>
      <w:r>
        <w:rPr>
          <w:rFonts w:ascii="Calibri" w:hAnsi="Calibri"/>
          <w:b/>
          <w:color w:val="0F2942"/>
          <w:sz w:val="36"/>
        </w:rPr>
        <w:t>1. THE PROBLEM (Why Military Analysts Need This)</w:t>
      </w:r>
    </w:p>
    <w:p>
      <w:pPr>
        <w:spacing w:after="120"/>
      </w:pPr>
      <w:r>
        <w:t>Modern defense forces face data saturation with actionable starvation:</w:t>
        <w:br/>
      </w:r>
    </w:p>
    <w:p>
      <w:pPr>
        <w:pStyle w:val="ListBullet"/>
        <w:spacing w:after="60"/>
      </w:pPr>
      <w:r>
        <w:rPr>
          <w:b/>
          <w:color w:val="1E4E79"/>
        </w:rPr>
        <w:t xml:space="preserve">Massive Satellite Images vs Tiny Targets: </w:t>
      </w:r>
      <w:r>
        <w:rPr>
          <w:color w:val="2D3748"/>
        </w:rPr>
        <w:t>A single military satellite pass is 20,000 x 20,000 pixels. A ship or vehicle is only 15 pixels across. Standard AI downsamples the whole image, losing small targets.</w:t>
      </w:r>
    </w:p>
    <w:p>
      <w:pPr>
        <w:pStyle w:val="ListBullet"/>
        <w:spacing w:after="60"/>
      </w:pPr>
      <w:r>
        <w:rPr>
          <w:b/>
          <w:color w:val="1E4E79"/>
        </w:rPr>
        <w:t xml:space="preserve">Dark Vessels &amp; AIS Spoofing: </w:t>
      </w:r>
      <w:r>
        <w:rPr>
          <w:color w:val="2D3748"/>
        </w:rPr>
        <w:t>Adversary warships and illegal trawlers deliberately turn off AIS GPS transponders in key chokepoints (Malacca Strait, Mumbai Offshore), evading coastal radar.</w:t>
      </w:r>
    </w:p>
    <w:p>
      <w:pPr>
        <w:pStyle w:val="ListBullet"/>
        <w:spacing w:after="60"/>
      </w:pPr>
      <w:r>
        <w:rPr>
          <w:b/>
          <w:color w:val="1E4E79"/>
        </w:rPr>
        <w:t xml:space="preserve">Cloud Dependency Fails in Combat: </w:t>
      </w:r>
      <w:r>
        <w:rPr>
          <w:color w:val="2D3748"/>
        </w:rPr>
        <w:t>Civilian AI requires internet APIs (OpenAI, AWS). In an active war zone under electronic jamming and radio silence (EMCON), cloud tools fail 100%.</w:t>
      </w:r>
    </w:p>
    <w:p>
      <w:pPr>
        <w:pStyle w:val="ListBullet"/>
        <w:spacing w:after="60"/>
      </w:pPr>
      <w:r>
        <w:rPr>
          <w:b/>
          <w:color w:val="1E4E79"/>
        </w:rPr>
        <w:t xml:space="preserve">Siloed Military Feeds: </w:t>
      </w:r>
      <w:r>
        <w:rPr>
          <w:color w:val="2D3748"/>
        </w:rPr>
        <w:t>Navy maps, Army drone cameras, and radar operate in separate silos with zero automated cross-correlation.</w:t>
      </w:r>
    </w:p>
    <w:p>
      <w:pPr>
        <w:spacing w:before="280" w:after="80"/>
      </w:pPr>
      <w:r>
        <w:rPr>
          <w:rFonts w:ascii="Calibri" w:hAnsi="Calibri"/>
          <w:b/>
          <w:color w:val="0F2942"/>
          <w:sz w:val="36"/>
        </w:rPr>
        <w:t>2. THE SOLUTION &amp; WHAT WE BUILT</w:t>
      </w:r>
    </w:p>
    <w:p>
      <w:pPr>
        <w:pStyle w:val="ListBullet"/>
        <w:spacing w:after="60"/>
      </w:pPr>
      <w:r>
        <w:rPr>
          <w:b/>
          <w:color w:val="1E4E79"/>
        </w:rPr>
        <w:t xml:space="preserve">Zero-Leakage Security Gateway: </w:t>
      </w:r>
      <w:r>
        <w:rPr>
          <w:color w:val="2D3748"/>
        </w:rPr>
        <w:t>Entire C2 console is strictly locked behind a cryptographic authentication terminal. No operator profiles or identities are exposed until valid credentials are authenticated.</w:t>
      </w:r>
    </w:p>
    <w:p>
      <w:pPr>
        <w:pStyle w:val="ListBullet"/>
        <w:spacing w:after="60"/>
      </w:pPr>
      <w:r>
        <w:rPr>
          <w:b/>
          <w:color w:val="1E4E79"/>
        </w:rPr>
        <w:t xml:space="preserve">Sub-Pixel Tiling Engine: </w:t>
      </w:r>
      <w:r>
        <w:rPr>
          <w:color w:val="2D3748"/>
        </w:rPr>
        <w:t>Cuts massive GeoTIFFs into overlapping 1024x1024 tiles at 100% raw optical clarity, detects every target, and stitches them back together with real GPS coordinates.</w:t>
      </w:r>
    </w:p>
    <w:p>
      <w:pPr>
        <w:pStyle w:val="ListBullet"/>
        <w:spacing w:after="60"/>
      </w:pPr>
      <w:r>
        <w:rPr>
          <w:b/>
          <w:color w:val="1E4E79"/>
        </w:rPr>
        <w:t xml:space="preserve">Dark Vessel &amp; AIS Correlation: </w:t>
      </w:r>
      <w:r>
        <w:rPr>
          <w:color w:val="2D3748"/>
        </w:rPr>
        <w:t>Compares Synthetic Aperture Radar (SAR) metal reflection signatures against transponder logs to instantly isolate Dark Vessels.</w:t>
      </w:r>
    </w:p>
    <w:p>
      <w:pPr>
        <w:pStyle w:val="ListBullet"/>
        <w:spacing w:after="60"/>
      </w:pPr>
      <w:r>
        <w:rPr>
          <w:b/>
          <w:color w:val="1E4E79"/>
        </w:rPr>
        <w:t xml:space="preserve">Automated Threat Engine: </w:t>
      </w:r>
      <w:r>
        <w:rPr>
          <w:color w:val="2D3748"/>
        </w:rPr>
        <w:t>Calculates a 0 to 100 Threat Score based on convoy formation (+20), restricted zone breaches like naval bases (+30), and transponder spoofing (+50).</w:t>
      </w:r>
    </w:p>
    <w:p>
      <w:pPr>
        <w:pStyle w:val="ListBullet"/>
        <w:spacing w:after="60"/>
      </w:pPr>
      <w:r>
        <w:rPr>
          <w:b/>
          <w:color w:val="1E4E79"/>
        </w:rPr>
        <w:t xml:space="preserve">Tactical Drone Downlink Dropzone: </w:t>
      </w:r>
      <w:r>
        <w:rPr>
          <w:color w:val="2D3748"/>
        </w:rPr>
        <w:t>Allows field soldiers to drop live UAV footage and receive multiclass classification in under 100 milliseconds.</w:t>
      </w:r>
    </w:p>
    <w:p>
      <w:pPr>
        <w:pStyle w:val="ListBullet"/>
        <w:spacing w:after="60"/>
      </w:pPr>
      <w:r>
        <w:rPr>
          <w:b/>
          <w:color w:val="1E4E79"/>
        </w:rPr>
        <w:t xml:space="preserve">1-Click Edge Hardware Export: </w:t>
      </w:r>
      <w:r>
        <w:rPr>
          <w:color w:val="2D3748"/>
        </w:rPr>
        <w:t>Exports the AI model directly to ONNX format to run on low-power NVIDIA Jetson Orin microchips mounted directly inside military drones.</w:t>
      </w:r>
    </w:p>
    <w:p>
      <w:pPr>
        <w:spacing w:before="280" w:after="80"/>
      </w:pPr>
      <w:r>
        <w:rPr>
          <w:rFonts w:ascii="Calibri" w:hAnsi="Calibri"/>
          <w:b/>
          <w:color w:val="0F2942"/>
          <w:sz w:val="36"/>
        </w:rPr>
        <w:t>3. TECH STACK &amp; STRATEGIC JUSTIFICATION ('THE WHY')</w:t>
      </w:r>
    </w:p>
    <w:tbl>
      <w:tblPr>
        <w:tblW w:type="auto" w:w="0"/>
        <w:jc w:val="center"/>
        <w:tblLook w:firstColumn="1" w:firstRow="1" w:lastColumn="0" w:lastRow="0" w:noHBand="0" w:noVBand="1" w:val="04A0"/>
      </w:tblPr>
      <w:tblGrid>
        <w:gridCol w:w="3312"/>
        <w:gridCol w:w="3312"/>
        <w:gridCol w:w="3312"/>
      </w:tblGrid>
      <w:tr>
        <w:tc>
          <w:tcPr>
            <w:tcW w:type="dxa" w:w="3312"/>
            <w:shd w:fill="0F2942"/>
            <w:tcMar>
              <w:top w:w="140" w:type="dxa"/>
              <w:bottom w:w="140" w:type="dxa"/>
              <w:left w:w="150" w:type="dxa"/>
              <w:right w:w="150" w:type="dxa"/>
            </w:tcMar>
          </w:tcPr>
          <w:p>
            <w:pPr>
              <w:spacing w:after="0"/>
            </w:pPr>
            <w:r>
              <w:rPr>
                <w:b/>
                <w:color w:val="FFFFFF"/>
                <w:sz w:val="20"/>
              </w:rPr>
              <w:t>Component</w:t>
            </w:r>
          </w:p>
        </w:tc>
        <w:tc>
          <w:tcPr>
            <w:tcW w:type="dxa" w:w="3312"/>
            <w:shd w:fill="0F2942"/>
            <w:tcMar>
              <w:top w:w="140" w:type="dxa"/>
              <w:bottom w:w="140" w:type="dxa"/>
              <w:left w:w="150" w:type="dxa"/>
              <w:right w:w="150" w:type="dxa"/>
            </w:tcMar>
          </w:tcPr>
          <w:p>
            <w:pPr>
              <w:spacing w:after="0"/>
            </w:pPr>
            <w:r>
              <w:rPr>
                <w:b/>
                <w:color w:val="FFFFFF"/>
                <w:sz w:val="20"/>
              </w:rPr>
              <w:t>Technology Used</w:t>
            </w:r>
          </w:p>
        </w:tc>
        <w:tc>
          <w:tcPr>
            <w:tcW w:type="dxa" w:w="3312"/>
            <w:shd w:fill="0F2942"/>
            <w:tcMar>
              <w:top w:w="140" w:type="dxa"/>
              <w:bottom w:w="140" w:type="dxa"/>
              <w:left w:w="150" w:type="dxa"/>
              <w:right w:w="150" w:type="dxa"/>
            </w:tcMar>
          </w:tcPr>
          <w:p>
            <w:pPr>
              <w:spacing w:after="0"/>
            </w:pPr>
            <w:r>
              <w:rPr>
                <w:b/>
                <w:color w:val="FFFFFF"/>
                <w:sz w:val="20"/>
              </w:rPr>
              <w:t>Why We Chose It (The Defense Rationale)</w:t>
            </w:r>
          </w:p>
        </w:tc>
      </w:tr>
      <w:tr>
        <w:tc>
          <w:tcPr>
            <w:tcW w:type="dxa" w:w="3312"/>
            <w:shd w:fill="FFFFFF"/>
            <w:tcMar>
              <w:top w:w="100" w:type="dxa"/>
              <w:bottom w:w="100" w:type="dxa"/>
              <w:left w:w="120" w:type="dxa"/>
              <w:right w:w="120" w:type="dxa"/>
            </w:tcMar>
          </w:tcPr>
          <w:p>
            <w:pPr>
              <w:spacing w:after="0"/>
            </w:pPr>
            <w:r>
              <w:rPr>
                <w:b/>
                <w:color w:val="0F2942"/>
                <w:sz w:val="19"/>
              </w:rPr>
              <w:t>AI / Vision</w:t>
            </w:r>
          </w:p>
        </w:tc>
        <w:tc>
          <w:tcPr>
            <w:tcW w:type="dxa" w:w="3312"/>
            <w:shd w:fill="FFFFFF"/>
            <w:tcMar>
              <w:top w:w="100" w:type="dxa"/>
              <w:bottom w:w="100" w:type="dxa"/>
              <w:left w:w="120" w:type="dxa"/>
              <w:right w:w="120" w:type="dxa"/>
            </w:tcMar>
          </w:tcPr>
          <w:p>
            <w:pPr>
              <w:spacing w:after="0"/>
            </w:pPr>
            <w:r>
              <w:rPr>
                <w:b/>
                <w:color w:val="1E4E79"/>
                <w:sz w:val="19"/>
              </w:rPr>
              <w:t>YOLOv11 Nano (Custom)</w:t>
            </w:r>
          </w:p>
        </w:tc>
        <w:tc>
          <w:tcPr>
            <w:tcW w:type="dxa" w:w="3312"/>
            <w:shd w:fill="FFFFFF"/>
            <w:tcMar>
              <w:top w:w="100" w:type="dxa"/>
              <w:bottom w:w="100" w:type="dxa"/>
              <w:left w:w="120" w:type="dxa"/>
              <w:right w:w="120" w:type="dxa"/>
            </w:tcMar>
          </w:tcPr>
          <w:p>
            <w:pPr>
              <w:spacing w:after="0"/>
            </w:pPr>
            <w:r>
              <w:rPr>
                <w:color w:val="2D3748"/>
                <w:sz w:val="19"/>
              </w:rPr>
              <w:t>Ultra-lightweight (only 5.5 MB). Runs at 11+ FPS on normal CPU and 80+ FPS on edge chips without needing expensive 24GB GPUs.</w:t>
            </w:r>
          </w:p>
        </w:tc>
      </w:tr>
      <w:tr>
        <w:tc>
          <w:tcPr>
            <w:tcW w:type="dxa" w:w="3312"/>
            <w:shd w:fill="F8FAFC"/>
            <w:tcMar>
              <w:top w:w="100" w:type="dxa"/>
              <w:bottom w:w="100" w:type="dxa"/>
              <w:left w:w="120" w:type="dxa"/>
              <w:right w:w="120" w:type="dxa"/>
            </w:tcMar>
          </w:tcPr>
          <w:p>
            <w:pPr>
              <w:spacing w:after="0"/>
            </w:pPr>
            <w:r>
              <w:rPr>
                <w:b/>
                <w:color w:val="0F2942"/>
                <w:sz w:val="19"/>
              </w:rPr>
              <w:t>Geospatial</w:t>
            </w:r>
          </w:p>
        </w:tc>
        <w:tc>
          <w:tcPr>
            <w:tcW w:type="dxa" w:w="3312"/>
            <w:shd w:fill="F8FAFC"/>
            <w:tcMar>
              <w:top w:w="100" w:type="dxa"/>
              <w:bottom w:w="100" w:type="dxa"/>
              <w:left w:w="120" w:type="dxa"/>
              <w:right w:w="120" w:type="dxa"/>
            </w:tcMar>
          </w:tcPr>
          <w:p>
            <w:pPr>
              <w:spacing w:after="0"/>
            </w:pPr>
            <w:r>
              <w:rPr>
                <w:b/>
                <w:color w:val="1E4E79"/>
                <w:sz w:val="19"/>
              </w:rPr>
              <w:t>Rasterio + GDAL + OpenCV</w:t>
            </w:r>
          </w:p>
        </w:tc>
        <w:tc>
          <w:tcPr>
            <w:tcW w:type="dxa" w:w="3312"/>
            <w:shd w:fill="F8FAFC"/>
            <w:tcMar>
              <w:top w:w="100" w:type="dxa"/>
              <w:bottom w:w="100" w:type="dxa"/>
              <w:left w:w="120" w:type="dxa"/>
              <w:right w:w="120" w:type="dxa"/>
            </w:tcMar>
          </w:tcPr>
          <w:p>
            <w:pPr>
              <w:spacing w:after="0"/>
            </w:pPr>
            <w:r>
              <w:rPr>
                <w:color w:val="2D3748"/>
                <w:sz w:val="19"/>
              </w:rPr>
              <w:t>Preserves native satellite GeoTIFF metadata and maps pixel boxes directly to real-world WGS84 GPS Lat/Long coordinates.</w:t>
            </w:r>
          </w:p>
        </w:tc>
      </w:tr>
      <w:tr>
        <w:tc>
          <w:tcPr>
            <w:tcW w:type="dxa" w:w="3312"/>
            <w:shd w:fill="FFFFFF"/>
            <w:tcMar>
              <w:top w:w="100" w:type="dxa"/>
              <w:bottom w:w="100" w:type="dxa"/>
              <w:left w:w="120" w:type="dxa"/>
              <w:right w:w="120" w:type="dxa"/>
            </w:tcMar>
          </w:tcPr>
          <w:p>
            <w:pPr>
              <w:spacing w:after="0"/>
            </w:pPr>
            <w:r>
              <w:rPr>
                <w:b/>
                <w:color w:val="0F2942"/>
                <w:sz w:val="19"/>
              </w:rPr>
              <w:t>Threat Engine</w:t>
            </w:r>
          </w:p>
        </w:tc>
        <w:tc>
          <w:tcPr>
            <w:tcW w:type="dxa" w:w="3312"/>
            <w:shd w:fill="FFFFFF"/>
            <w:tcMar>
              <w:top w:w="100" w:type="dxa"/>
              <w:bottom w:w="100" w:type="dxa"/>
              <w:left w:w="120" w:type="dxa"/>
              <w:right w:w="120" w:type="dxa"/>
            </w:tcMar>
          </w:tcPr>
          <w:p>
            <w:pPr>
              <w:spacing w:after="0"/>
            </w:pPr>
            <w:r>
              <w:rPr>
                <w:b/>
                <w:color w:val="1E4E79"/>
                <w:sz w:val="19"/>
              </w:rPr>
              <w:t>O(N) Spatial Grid Index</w:t>
            </w:r>
          </w:p>
        </w:tc>
        <w:tc>
          <w:tcPr>
            <w:tcW w:type="dxa" w:w="3312"/>
            <w:shd w:fill="FFFFFF"/>
            <w:tcMar>
              <w:top w:w="100" w:type="dxa"/>
              <w:bottom w:w="100" w:type="dxa"/>
              <w:left w:w="120" w:type="dxa"/>
              <w:right w:w="120" w:type="dxa"/>
            </w:tcMar>
          </w:tcPr>
          <w:p>
            <w:pPr>
              <w:spacing w:after="0"/>
            </w:pPr>
            <w:r>
              <w:rPr>
                <w:color w:val="2D3748"/>
                <w:sz w:val="19"/>
              </w:rPr>
              <w:t>Eliminated slow O(N^2) loops. Slashed clustering calculation for 2,778 targets from 35 seconds down to 0.08 seconds (400x faster).</w:t>
            </w:r>
          </w:p>
        </w:tc>
      </w:tr>
      <w:tr>
        <w:tc>
          <w:tcPr>
            <w:tcW w:type="dxa" w:w="3312"/>
            <w:shd w:fill="F8FAFC"/>
            <w:tcMar>
              <w:top w:w="100" w:type="dxa"/>
              <w:bottom w:w="100" w:type="dxa"/>
              <w:left w:w="120" w:type="dxa"/>
              <w:right w:w="120" w:type="dxa"/>
            </w:tcMar>
          </w:tcPr>
          <w:p>
            <w:pPr>
              <w:spacing w:after="0"/>
            </w:pPr>
            <w:r>
              <w:rPr>
                <w:b/>
                <w:color w:val="0F2942"/>
                <w:sz w:val="19"/>
              </w:rPr>
              <w:t>Database</w:t>
            </w:r>
          </w:p>
        </w:tc>
        <w:tc>
          <w:tcPr>
            <w:tcW w:type="dxa" w:w="3312"/>
            <w:shd w:fill="F8FAFC"/>
            <w:tcMar>
              <w:top w:w="100" w:type="dxa"/>
              <w:bottom w:w="100" w:type="dxa"/>
              <w:left w:w="120" w:type="dxa"/>
              <w:right w:w="120" w:type="dxa"/>
            </w:tcMar>
          </w:tcPr>
          <w:p>
            <w:pPr>
              <w:spacing w:after="0"/>
            </w:pPr>
            <w:r>
              <w:rPr>
                <w:b/>
                <w:color w:val="1E4E79"/>
                <w:sz w:val="19"/>
              </w:rPr>
              <w:t>SQLite 3 in WAL Mode</w:t>
            </w:r>
          </w:p>
        </w:tc>
        <w:tc>
          <w:tcPr>
            <w:tcW w:type="dxa" w:w="3312"/>
            <w:shd w:fill="F8FAFC"/>
            <w:tcMar>
              <w:top w:w="100" w:type="dxa"/>
              <w:bottom w:w="100" w:type="dxa"/>
              <w:left w:w="120" w:type="dxa"/>
              <w:right w:w="120" w:type="dxa"/>
            </w:tcMar>
          </w:tcPr>
          <w:p>
            <w:pPr>
              <w:spacing w:after="0"/>
            </w:pPr>
            <w:r>
              <w:rPr>
                <w:color w:val="2D3748"/>
                <w:sz w:val="19"/>
              </w:rPr>
              <w:t>Zero network daemon overhead. Runs in-process in a single rugged file (rakshak.db). Never crashes, uses sub-millisecond local reads/writes.</w:t>
            </w:r>
          </w:p>
        </w:tc>
      </w:tr>
      <w:tr>
        <w:tc>
          <w:tcPr>
            <w:tcW w:type="dxa" w:w="3312"/>
            <w:shd w:fill="FFFFFF"/>
            <w:tcMar>
              <w:top w:w="100" w:type="dxa"/>
              <w:bottom w:w="100" w:type="dxa"/>
              <w:left w:w="120" w:type="dxa"/>
              <w:right w:w="120" w:type="dxa"/>
            </w:tcMar>
          </w:tcPr>
          <w:p>
            <w:pPr>
              <w:spacing w:after="0"/>
            </w:pPr>
            <w:r>
              <w:rPr>
                <w:b/>
                <w:color w:val="0F2942"/>
                <w:sz w:val="19"/>
              </w:rPr>
              <w:t>Backend</w:t>
            </w:r>
          </w:p>
        </w:tc>
        <w:tc>
          <w:tcPr>
            <w:tcW w:type="dxa" w:w="3312"/>
            <w:shd w:fill="FFFFFF"/>
            <w:tcMar>
              <w:top w:w="100" w:type="dxa"/>
              <w:bottom w:w="100" w:type="dxa"/>
              <w:left w:w="120" w:type="dxa"/>
              <w:right w:w="120" w:type="dxa"/>
            </w:tcMar>
          </w:tcPr>
          <w:p>
            <w:pPr>
              <w:spacing w:after="0"/>
            </w:pPr>
            <w:r>
              <w:rPr>
                <w:b/>
                <w:color w:val="1E4E79"/>
                <w:sz w:val="19"/>
              </w:rPr>
              <w:t>Python 3.11 + FastAPI</w:t>
            </w:r>
          </w:p>
        </w:tc>
        <w:tc>
          <w:tcPr>
            <w:tcW w:type="dxa" w:w="3312"/>
            <w:shd w:fill="FFFFFF"/>
            <w:tcMar>
              <w:top w:w="100" w:type="dxa"/>
              <w:bottom w:w="100" w:type="dxa"/>
              <w:left w:w="120" w:type="dxa"/>
              <w:right w:w="120" w:type="dxa"/>
            </w:tcMar>
          </w:tcPr>
          <w:p>
            <w:pPr>
              <w:spacing w:after="0"/>
            </w:pPr>
            <w:r>
              <w:rPr>
                <w:color w:val="2D3748"/>
                <w:sz w:val="19"/>
              </w:rPr>
              <w:t>High-throughput asynchronous streaming for large multi-megabyte satellite rasters with automated Pydantic schema validation.</w:t>
            </w:r>
          </w:p>
        </w:tc>
      </w:tr>
      <w:tr>
        <w:tc>
          <w:tcPr>
            <w:tcW w:type="dxa" w:w="3312"/>
            <w:shd w:fill="F8FAFC"/>
            <w:tcMar>
              <w:top w:w="100" w:type="dxa"/>
              <w:bottom w:w="100" w:type="dxa"/>
              <w:left w:w="120" w:type="dxa"/>
              <w:right w:w="120" w:type="dxa"/>
            </w:tcMar>
          </w:tcPr>
          <w:p>
            <w:pPr>
              <w:spacing w:after="0"/>
            </w:pPr>
            <w:r>
              <w:rPr>
                <w:b/>
                <w:color w:val="0F2942"/>
                <w:sz w:val="19"/>
              </w:rPr>
              <w:t>Security &amp; Auth</w:t>
            </w:r>
          </w:p>
        </w:tc>
        <w:tc>
          <w:tcPr>
            <w:tcW w:type="dxa" w:w="3312"/>
            <w:shd w:fill="F8FAFC"/>
            <w:tcMar>
              <w:top w:w="100" w:type="dxa"/>
              <w:bottom w:w="100" w:type="dxa"/>
              <w:left w:w="120" w:type="dxa"/>
              <w:right w:w="120" w:type="dxa"/>
            </w:tcMar>
          </w:tcPr>
          <w:p>
            <w:pPr>
              <w:spacing w:after="0"/>
            </w:pPr>
            <w:r>
              <w:rPr>
                <w:b/>
                <w:color w:val="1E4E79"/>
                <w:sz w:val="19"/>
              </w:rPr>
              <w:t>JWT (HS256) + PBKDF2</w:t>
            </w:r>
          </w:p>
        </w:tc>
        <w:tc>
          <w:tcPr>
            <w:tcW w:type="dxa" w:w="3312"/>
            <w:shd w:fill="F8FAFC"/>
            <w:tcMar>
              <w:top w:w="100" w:type="dxa"/>
              <w:bottom w:w="100" w:type="dxa"/>
              <w:left w:w="120" w:type="dxa"/>
              <w:right w:w="120" w:type="dxa"/>
            </w:tcMar>
          </w:tcPr>
          <w:p>
            <w:pPr>
              <w:spacing w:after="0"/>
            </w:pPr>
            <w:r>
              <w:rPr>
                <w:color w:val="2D3748"/>
                <w:sz w:val="19"/>
              </w:rPr>
              <w:t>Zero-leakage military gateway. Zero user profiles shown before sign-in. In-process PBKDF2 password hashing with 24-hr military shift tokens.</w:t>
            </w:r>
          </w:p>
        </w:tc>
      </w:tr>
      <w:tr>
        <w:tc>
          <w:tcPr>
            <w:tcW w:type="dxa" w:w="3312"/>
            <w:shd w:fill="FFFFFF"/>
            <w:tcMar>
              <w:top w:w="100" w:type="dxa"/>
              <w:bottom w:w="100" w:type="dxa"/>
              <w:left w:w="120" w:type="dxa"/>
              <w:right w:w="120" w:type="dxa"/>
            </w:tcMar>
          </w:tcPr>
          <w:p>
            <w:pPr>
              <w:spacing w:after="0"/>
            </w:pPr>
            <w:r>
              <w:rPr>
                <w:b/>
                <w:color w:val="0F2942"/>
                <w:sz w:val="19"/>
              </w:rPr>
              <w:t>Tactical UI</w:t>
            </w:r>
          </w:p>
        </w:tc>
        <w:tc>
          <w:tcPr>
            <w:tcW w:type="dxa" w:w="3312"/>
            <w:shd w:fill="FFFFFF"/>
            <w:tcMar>
              <w:top w:w="100" w:type="dxa"/>
              <w:bottom w:w="100" w:type="dxa"/>
              <w:left w:w="120" w:type="dxa"/>
              <w:right w:w="120" w:type="dxa"/>
            </w:tcMar>
          </w:tcPr>
          <w:p>
            <w:pPr>
              <w:spacing w:after="0"/>
            </w:pPr>
            <w:r>
              <w:rPr>
                <w:b/>
                <w:color w:val="1E4E79"/>
                <w:sz w:val="19"/>
              </w:rPr>
              <w:t>React 19 + TypeScript + Vite</w:t>
            </w:r>
          </w:p>
        </w:tc>
        <w:tc>
          <w:tcPr>
            <w:tcW w:type="dxa" w:w="3312"/>
            <w:shd w:fill="FFFFFF"/>
            <w:tcMar>
              <w:top w:w="100" w:type="dxa"/>
              <w:bottom w:w="100" w:type="dxa"/>
              <w:left w:w="120" w:type="dxa"/>
              <w:right w:w="120" w:type="dxa"/>
            </w:tcMar>
          </w:tcPr>
          <w:p>
            <w:pPr>
              <w:spacing w:after="0"/>
            </w:pPr>
            <w:r>
              <w:rPr>
                <w:color w:val="2D3748"/>
                <w:sz w:val="19"/>
              </w:rPr>
              <w:t>300ms instant build, zero lag. Military dark-mode cockpit aesthetic prevents eye strain in dark command centers.</w:t>
            </w:r>
          </w:p>
        </w:tc>
      </w:tr>
      <w:tr>
        <w:tc>
          <w:tcPr>
            <w:tcW w:type="dxa" w:w="3312"/>
            <w:shd w:fill="F8FAFC"/>
            <w:tcMar>
              <w:top w:w="100" w:type="dxa"/>
              <w:bottom w:w="100" w:type="dxa"/>
              <w:left w:w="120" w:type="dxa"/>
              <w:right w:w="120" w:type="dxa"/>
            </w:tcMar>
          </w:tcPr>
          <w:p>
            <w:pPr>
              <w:spacing w:after="0"/>
            </w:pPr>
            <w:r>
              <w:rPr>
                <w:b/>
                <w:color w:val="0F2942"/>
                <w:sz w:val="19"/>
              </w:rPr>
              <w:t>Map Engine</w:t>
            </w:r>
          </w:p>
        </w:tc>
        <w:tc>
          <w:tcPr>
            <w:tcW w:type="dxa" w:w="3312"/>
            <w:shd w:fill="F8FAFC"/>
            <w:tcMar>
              <w:top w:w="100" w:type="dxa"/>
              <w:bottom w:w="100" w:type="dxa"/>
              <w:left w:w="120" w:type="dxa"/>
              <w:right w:w="120" w:type="dxa"/>
            </w:tcMar>
          </w:tcPr>
          <w:p>
            <w:pPr>
              <w:spacing w:after="0"/>
            </w:pPr>
            <w:r>
              <w:rPr>
                <w:b/>
                <w:color w:val="1E4E79"/>
                <w:sz w:val="19"/>
              </w:rPr>
              <w:t>Leaflet (Air-Gapped)</w:t>
            </w:r>
          </w:p>
        </w:tc>
        <w:tc>
          <w:tcPr>
            <w:tcW w:type="dxa" w:w="3312"/>
            <w:shd w:fill="F8FAFC"/>
            <w:tcMar>
              <w:top w:w="100" w:type="dxa"/>
              <w:bottom w:w="100" w:type="dxa"/>
              <w:left w:w="120" w:type="dxa"/>
              <w:right w:w="120" w:type="dxa"/>
            </w:tcMar>
          </w:tcPr>
          <w:p>
            <w:pPr>
              <w:spacing w:after="0"/>
            </w:pPr>
            <w:r>
              <w:rPr>
                <w:color w:val="2D3748"/>
                <w:sz w:val="19"/>
              </w:rPr>
              <w:t>100% offline capable. Doesn't leak coordinates to Google or Mapbox cloud servers. Supports smooth flyTo geonavigation.</w:t>
            </w:r>
          </w:p>
        </w:tc>
      </w:tr>
      <w:tr>
        <w:tc>
          <w:tcPr>
            <w:tcW w:type="dxa" w:w="3312"/>
            <w:shd w:fill="FFFFFF"/>
            <w:tcMar>
              <w:top w:w="100" w:type="dxa"/>
              <w:bottom w:w="100" w:type="dxa"/>
              <w:left w:w="120" w:type="dxa"/>
              <w:right w:w="120" w:type="dxa"/>
            </w:tcMar>
          </w:tcPr>
          <w:p>
            <w:pPr>
              <w:spacing w:after="0"/>
            </w:pPr>
            <w:r>
              <w:rPr>
                <w:b/>
                <w:color w:val="0F2942"/>
                <w:sz w:val="19"/>
              </w:rPr>
              <w:t>Edge Target</w:t>
            </w:r>
          </w:p>
        </w:tc>
        <w:tc>
          <w:tcPr>
            <w:tcW w:type="dxa" w:w="3312"/>
            <w:shd w:fill="FFFFFF"/>
            <w:tcMar>
              <w:top w:w="100" w:type="dxa"/>
              <w:bottom w:w="100" w:type="dxa"/>
              <w:left w:w="120" w:type="dxa"/>
              <w:right w:w="120" w:type="dxa"/>
            </w:tcMar>
          </w:tcPr>
          <w:p>
            <w:pPr>
              <w:spacing w:after="0"/>
            </w:pPr>
            <w:r>
              <w:rPr>
                <w:b/>
                <w:color w:val="1E4E79"/>
                <w:sz w:val="19"/>
              </w:rPr>
              <w:t>ONNX Runtime / TensorRT</w:t>
            </w:r>
          </w:p>
        </w:tc>
        <w:tc>
          <w:tcPr>
            <w:tcW w:type="dxa" w:w="3312"/>
            <w:shd w:fill="FFFFFF"/>
            <w:tcMar>
              <w:top w:w="100" w:type="dxa"/>
              <w:bottom w:w="100" w:type="dxa"/>
              <w:left w:w="120" w:type="dxa"/>
              <w:right w:w="120" w:type="dxa"/>
            </w:tcMar>
          </w:tcPr>
          <w:p>
            <w:pPr>
              <w:spacing w:after="0"/>
            </w:pPr>
            <w:r>
              <w:rPr>
                <w:color w:val="2D3748"/>
                <w:sz w:val="19"/>
              </w:rPr>
              <w:t>1-click export to deploy directly on NVIDIA Jetson Orin microcomputers inside field drones or vehicles.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