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Rakshak Project Handout</w:t>
      </w:r>
    </w:p>
    <w:p>
      <w:pPr>
        <w:spacing w:after="180"/>
      </w:pPr>
      <w:r>
        <w:rPr>
          <w:b/>
          <w:color w:val="087E83"/>
          <w:sz w:val="22"/>
        </w:rPr>
        <w:t>A local-first satellite image review demo for a college hackathon</w:t>
      </w:r>
    </w:p>
    <w:p>
      <w:pPr>
        <w:spacing w:after="160"/>
      </w:pPr>
      <w:r>
        <w:t xml:space="preserve">Rakshak helps a user review overhead images and vessel-related data in one dashboard. </w:t>
      </w:r>
      <w:r>
        <w:rPr>
          <w:b/>
        </w:rPr>
        <w:t>It currently has two separate workflows:</w:t>
      </w:r>
      <w:r>
        <w:t xml:space="preserve"> YOLO vessel candidates on xView-style imagery, and Sentinel-2 scene context with PipeV4 locations and AIS review. All results are prompts for human review, not confirmed ships or threats.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c>
          <w:tcPr>
            <w:tcW w:type="dxa" w:w="3240"/>
            <w:shd w:fill="EAF4F4"/>
            <w:tcMar>
              <w:top w:w="115" w:type="dxa"/>
              <w:start w:w="135" w:type="dxa"/>
              <w:bottom w:w="115" w:type="dxa"/>
              <w:end w:w="135" w:type="dxa"/>
            </w:tcMar>
          </w:tcPr>
          <w:p>
            <w:pPr>
              <w:spacing w:after="40"/>
            </w:pPr>
            <w:r>
              <w:rPr>
                <w:b/>
                <w:color w:val="132C3A"/>
                <w:sz w:val="24"/>
              </w:rPr>
              <w:t>2 modes</w:t>
            </w:r>
          </w:p>
          <w:p>
            <w:pPr>
              <w:spacing w:after="0"/>
            </w:pPr>
            <w:r>
              <w:rPr>
                <w:color w:val="52636E"/>
                <w:sz w:val="16"/>
              </w:rPr>
              <w:t>One switchable dashboard</w:t>
            </w:r>
          </w:p>
        </w:tc>
        <w:tc>
          <w:tcPr>
            <w:tcW w:type="dxa" w:w="3240"/>
            <w:shd w:fill="EAF4F4"/>
            <w:tcMar>
              <w:top w:w="115" w:type="dxa"/>
              <w:start w:w="135" w:type="dxa"/>
              <w:bottom w:w="115" w:type="dxa"/>
              <w:end w:w="135" w:type="dxa"/>
            </w:tcMar>
          </w:tcPr>
          <w:p>
            <w:pPr>
              <w:spacing w:after="40"/>
            </w:pPr>
            <w:r>
              <w:rPr>
                <w:b/>
                <w:color w:val="132C3A"/>
                <w:sz w:val="24"/>
              </w:rPr>
              <w:t>Local-first</w:t>
            </w:r>
          </w:p>
          <w:p>
            <w:pPr>
              <w:spacing w:after="0"/>
            </w:pPr>
            <w:r>
              <w:rPr>
                <w:color w:val="52636E"/>
                <w:sz w:val="16"/>
              </w:rPr>
              <w:t>API and review data stay on this machine</w:t>
            </w:r>
          </w:p>
        </w:tc>
        <w:tc>
          <w:tcPr>
            <w:tcW w:type="dxa" w:w="3240"/>
            <w:shd w:fill="EAF4F4"/>
            <w:tcMar>
              <w:top w:w="115" w:type="dxa"/>
              <w:start w:w="135" w:type="dxa"/>
              <w:bottom w:w="115" w:type="dxa"/>
              <w:end w:w="135" w:type="dxa"/>
            </w:tcMar>
          </w:tcPr>
          <w:p>
            <w:pPr>
              <w:spacing w:after="40"/>
            </w:pPr>
            <w:r>
              <w:rPr>
                <w:b/>
                <w:color w:val="132C3A"/>
                <w:sz w:val="24"/>
              </w:rPr>
              <w:t>Human reviewed</w:t>
            </w:r>
          </w:p>
          <w:p>
            <w:pPr>
              <w:spacing w:after="0"/>
            </w:pPr>
            <w:r>
              <w:rPr>
                <w:color w:val="52636E"/>
                <w:sz w:val="16"/>
              </w:rPr>
              <w:t>Candidates are not threat conclusions</w:t>
            </w:r>
          </w:p>
        </w:tc>
      </w:tr>
    </w:tbl>
    <w:p>
      <w:pPr>
        <w:pStyle w:val="Heading1"/>
      </w:pPr>
      <w:r>
        <w:t>What each mode does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tblHeader w:val="true"/>
        </w:trPr>
        <w:tc>
          <w:tcPr>
            <w:tcW w:type="dxa" w:w="4867"/>
            <w:shd w:fill="132C3A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MODE 1  COMPUTER VISION</w:t>
            </w:r>
          </w:p>
        </w:tc>
        <w:tc>
          <w:tcPr>
            <w:tcW w:type="dxa" w:w="4867"/>
            <w:shd w:fill="132C3A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MODE 2  OPERATIONAL SURVEILLANCE</w:t>
            </w:r>
          </w:p>
        </w:tc>
      </w:tr>
      <w:tr>
        <w:tc>
          <w:tcPr>
            <w:tcW w:type="dxa" w:w="4975"/>
            <w:vAlign w:val="top"/>
            <w:tcMar>
              <w:top w:w="120" w:type="dxa"/>
              <w:start w:w="140" w:type="dxa"/>
              <w:bottom w:w="120" w:type="dxa"/>
              <w:end w:w="140" w:type="dxa"/>
            </w:tcMar>
            <w:shd w:fill="EEF3F7"/>
          </w:tcPr>
          <w:p>
            <w:pPr>
              <w:spacing w:after="80"/>
            </w:pPr>
            <w:r>
              <w:rPr>
                <w:b/>
                <w:color w:val="132C3A"/>
                <w:sz w:val="20"/>
              </w:rPr>
              <w:t>xView / xView3-style imagery</w:t>
            </w:r>
          </w:p>
          <w:p>
            <w:pPr>
              <w:spacing w:after="0" w:line="250" w:lineRule="auto"/>
            </w:pPr>
            <w:r>
              <w:rPr>
                <w:sz w:val="17"/>
              </w:rPr>
              <w:t>Runs the local YOLO vessel detector. Candidate boxes are drawn over the uploaded image with confidence labels. A 40% minimum confidence setting hides weaker candidates; lower it and reanalyze to see weaker ones.</w:t>
            </w:r>
          </w:p>
        </w:tc>
        <w:tc>
          <w:tcPr>
            <w:tcW w:type="dxa" w:w="4975"/>
            <w:vAlign w:val="top"/>
            <w:tcMar>
              <w:top w:w="120" w:type="dxa"/>
              <w:start w:w="140" w:type="dxa"/>
              <w:bottom w:w="120" w:type="dxa"/>
              <w:end w:w="140" w:type="dxa"/>
            </w:tcMar>
            <w:shd w:fill="EAF4F4"/>
          </w:tcPr>
          <w:p>
            <w:pPr>
              <w:spacing w:after="80"/>
            </w:pPr>
            <w:r>
              <w:rPr>
                <w:b/>
                <w:color w:val="132C3A"/>
                <w:sz w:val="20"/>
              </w:rPr>
              <w:t>Sentinel-2 GeoTIFF imagery</w:t>
            </w:r>
          </w:p>
          <w:p>
            <w:pPr>
              <w:spacing w:after="0" w:line="250" w:lineRule="auto"/>
            </w:pPr>
            <w:r>
              <w:rPr>
                <w:sz w:val="17"/>
              </w:rPr>
              <w:t>Displays the scene and its map footprint. If a matching PipeV4 month is available, provider locations are filtered to the scene bounds and projected as purple markers. Analysts can review AIS association, view a heatmap, and create a review sequence.</w:t>
            </w:r>
          </w:p>
        </w:tc>
      </w:tr>
    </w:tbl>
    <w:p>
      <w:pPr>
        <w:pStyle w:val="Heading1"/>
      </w:pPr>
      <w:r>
        <w:t>Current working features</w:t>
      </w:r>
    </w:p>
    <w:p>
      <w:pPr>
        <w:pStyle w:val="ListBullet"/>
      </w:pPr>
      <w:r>
        <w:rPr>
          <w:b/>
        </w:rPr>
        <w:t>Upload</w:t>
      </w:r>
      <w:r>
        <w:t xml:space="preserve"> PNG, JPG, TIFF, or GeoTIFF images through the local dashboard.</w:t>
      </w:r>
    </w:p>
    <w:p>
      <w:pPr>
        <w:pStyle w:val="ListBullet"/>
      </w:pPr>
      <w:r>
        <w:rPr>
          <w:b/>
        </w:rPr>
        <w:t>View</w:t>
      </w:r>
      <w:r>
        <w:t xml:space="preserve"> model boxes, confidence scores, and a review list in Computer Vision mode.</w:t>
      </w:r>
    </w:p>
    <w:p>
      <w:pPr>
        <w:pStyle w:val="ListBullet"/>
      </w:pPr>
      <w:r>
        <w:rPr>
          <w:b/>
        </w:rPr>
        <w:t>View</w:t>
      </w:r>
      <w:r>
        <w:t xml:space="preserve"> Sentinel-2 scene context, provider detections, and local AIS review controls in Operational Surveillance mode.</w:t>
      </w:r>
    </w:p>
    <w:p>
      <w:pPr>
        <w:pStyle w:val="ListBullet"/>
      </w:pPr>
      <w:r>
        <w:rPr>
          <w:b/>
        </w:rPr>
        <w:t>Explore</w:t>
      </w:r>
      <w:r>
        <w:t xml:space="preserve"> maps and heatmaps; save a review-only mission sequence.</w:t>
      </w:r>
    </w:p>
    <w:p>
      <w:pPr>
        <w:pStyle w:val="ListBullet"/>
      </w:pPr>
      <w:r>
        <w:rPr>
          <w:b/>
        </w:rPr>
        <w:t>Run</w:t>
      </w:r>
      <w:r>
        <w:t xml:space="preserve"> the React/TypeScript frontend with a Python FastAPI backend and local SQLite storage.</w:t>
      </w:r>
    </w:p>
    <w:p>
      <w:pPr>
        <w:spacing w:before="100" w:after="0"/>
      </w:pPr>
      <w:r>
        <w:rPr>
          <w:b/>
          <w:color w:val="132C3A"/>
        </w:rPr>
        <w:t xml:space="preserve">Demo address  </w:t>
      </w:r>
      <w:r>
        <w:rPr>
          <w:color w:val="087E83"/>
          <w:u w:val="single"/>
        </w:rPr>
        <w:t>http://127.0.0.1:5173/</w:t>
      </w:r>
    </w:p>
    <w:p>
      <w:r>
        <w:br w:type="page"/>
      </w:r>
    </w:p>
    <w:p>
      <w:pPr>
        <w:pStyle w:val="Title"/>
      </w:pPr>
      <w:r>
        <w:t>Data, accuracy and next steps</w:t>
      </w:r>
    </w:p>
    <w:p>
      <w:pPr>
        <w:spacing w:after="140"/>
      </w:pPr>
      <w:r>
        <w:t>The current build is a hackathon prototype. Its most useful next improvement is better labeled imagery that matches the images people will actually upload.</w:t>
      </w:r>
    </w:p>
    <w:p>
      <w:pPr>
        <w:pStyle w:val="Heading1"/>
      </w:pPr>
      <w:r>
        <w:t>Technology and data in the current build</w:t>
      </w:r>
    </w:p>
    <w:p>
      <w:pPr>
        <w:pStyle w:val="ListBullet"/>
      </w:pPr>
      <w:r>
        <w:rPr>
          <w:b/>
        </w:rPr>
        <w:t>Frontend:</w:t>
      </w:r>
      <w:r>
        <w:t xml:space="preserve"> React, TypeScript, Vite, Leaflet maps, and Recharts.</w:t>
      </w:r>
    </w:p>
    <w:p>
      <w:pPr>
        <w:pStyle w:val="ListBullet"/>
      </w:pPr>
      <w:r>
        <w:rPr>
          <w:b/>
        </w:rPr>
        <w:t>Backend:</w:t>
      </w:r>
      <w:r>
        <w:t xml:space="preserve"> Python FastAPI, SQLite, rasterio/GDAL for image previews and georeferencing, and Ultralytics YOLO for Computer Vision mode.</w:t>
      </w:r>
    </w:p>
    <w:p>
      <w:pPr>
        <w:pStyle w:val="ListBullet"/>
      </w:pPr>
      <w:r>
        <w:rPr>
          <w:b/>
        </w:rPr>
        <w:t>Local data:</w:t>
      </w:r>
      <w:r>
        <w:t xml:space="preserve"> xView-derived vessel tiles for training; Sentinel-2 images and monthly PipeV4 provider CSVs for scene context.</w:t>
      </w:r>
    </w:p>
    <w:p>
      <w:pPr>
        <w:pStyle w:val="ListBullet"/>
      </w:pPr>
      <w:r>
        <w:rPr>
          <w:b/>
        </w:rPr>
        <w:t>Deployment:</w:t>
      </w:r>
      <w:r>
        <w:t xml:space="preserve"> runs on the local computer. OpenStreetMap basemap tiles require an internet connection.</w:t>
      </w:r>
    </w:p>
    <w:p>
      <w:pPr>
        <w:pStyle w:val="Heading1"/>
      </w:pPr>
      <w:r>
        <w:t>What the current results mean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c>
          <w:tcPr>
            <w:tcW w:type="dxa" w:w="3240"/>
            <w:shd w:fill="EAF4F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color w:val="087E83"/>
                <w:sz w:val="28"/>
              </w:rPr>
              <w:t>0.277</w:t>
            </w:r>
          </w:p>
          <w:p>
            <w:pPr>
              <w:spacing w:after="0"/>
            </w:pPr>
            <w:r>
              <w:rPr>
                <w:color w:val="52636E"/>
                <w:sz w:val="16"/>
              </w:rPr>
              <w:t>xView validation mAP@50</w:t>
            </w:r>
          </w:p>
        </w:tc>
        <w:tc>
          <w:tcPr>
            <w:tcW w:type="dxa" w:w="3240"/>
            <w:shd w:fill="EAF4F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color w:val="087E83"/>
                <w:sz w:val="28"/>
              </w:rPr>
              <w:t>897 / 183</w:t>
            </w:r>
          </w:p>
          <w:p>
            <w:pPr>
              <w:spacing w:after="0"/>
            </w:pPr>
            <w:r>
              <w:rPr>
                <w:color w:val="52636E"/>
                <w:sz w:val="16"/>
              </w:rPr>
              <w:t>training / validation image tiles</w:t>
            </w:r>
          </w:p>
        </w:tc>
        <w:tc>
          <w:tcPr>
            <w:tcW w:type="dxa" w:w="3240"/>
            <w:shd w:fill="EAF4F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color w:val="087E83"/>
                <w:sz w:val="28"/>
              </w:rPr>
              <w:t>40%</w:t>
            </w:r>
          </w:p>
          <w:p>
            <w:pPr>
              <w:spacing w:after="0"/>
            </w:pPr>
            <w:r>
              <w:rPr>
                <w:color w:val="52636E"/>
                <w:sz w:val="16"/>
              </w:rPr>
              <w:t>default confidence display threshold</w:t>
            </w:r>
          </w:p>
        </w:tc>
      </w:tr>
    </w:tbl>
    <w:p>
      <w:pPr>
        <w:spacing w:before="100" w:after="100"/>
      </w:pPr>
      <w:r>
        <w:t>The model is still prone to false alarms and missed vessels. The reported metric is from xView validation only; it does not measure accuracy on Sentinel-2 or Indian coastal images. Raising the confidence threshold reduces weak detections, but can hide real ships too.</w:t>
      </w:r>
    </w:p>
    <w:p>
      <w:pPr>
        <w:pStyle w:val="Heading1"/>
      </w:pPr>
      <w:r>
        <w:t>Why Sentinel-2 needs a different detector</w:t>
      </w:r>
    </w:p>
    <w:p>
      <w:pPr>
        <w:spacing w:after="100"/>
      </w:pPr>
      <w:r>
        <w:t>Sentinel-2 visible imagery is 10 metres per pixel, while xView imagery is about 0.3 metres per pixel. A small vessel may cover very few Sentinel-2 pixels, so an xView-trained model cannot reliably outline its hull there. Operational Surveillance markers are PipeV4 coordinates projected onto the image; they are not image-derived ship outlines.</w:t>
      </w:r>
    </w:p>
    <w:p>
      <w:pPr>
        <w:pStyle w:val="Heading1"/>
      </w:pPr>
      <w:r>
        <w:t>Resources that would improve accuracy</w:t>
      </w:r>
    </w:p>
    <w:p>
      <w:pPr>
        <w:pStyle w:val="ListBullet"/>
      </w:pPr>
      <w:r>
        <w:t>False-alarm examples from your images, with each incorrect box marked as “not a ship.” Include docks, wakes, clouds, rocks, and bright water if they caused errors.</w:t>
      </w:r>
    </w:p>
    <w:p>
      <w:pPr>
        <w:pStyle w:val="ListBullet"/>
      </w:pPr>
      <w:r>
        <w:t>More images from the same sensor, resolution, coast, season, and conditions as your demo. Label real ships with bounding boxes; include clear negative scenes with no ships.</w:t>
      </w:r>
    </w:p>
    <w:p>
      <w:pPr>
        <w:pStyle w:val="ListBullet"/>
      </w:pPr>
      <w:r>
        <w:t>For a first fine-tuning experiment, aim for roughly 200–500 representative annotated image tiles, then grow the set as errors are found. This is a practical starting target, not a guarantee.</w:t>
      </w:r>
    </w:p>
    <w:p>
      <w:pPr>
        <w:pStyle w:val="ListBullet"/>
      </w:pPr>
      <w:r>
        <w:t>For Sentinel-1 SAR / dark-vessel detection, use a SAR-specific dataset and model such as xView3 rather than mixing SAR and optical images into this checkpoint.</w:t>
      </w:r>
    </w:p>
    <w:p>
      <w:pPr>
        <w:pStyle w:val="Heading1"/>
      </w:pPr>
      <w:r>
        <w:t>Good next demo workflow</w:t>
      </w:r>
    </w:p>
    <w:p>
      <w:pPr>
        <w:spacing w:after="80"/>
      </w:pPr>
      <w:r>
        <w:t>1. Choose Computer Vision for xView-style overhead images, upload, and adjust the confidence control.  2. Choose Operational Surveillance for Sentinel-2 GeoTIFFs and inspect only the available date-and-footprint-matched PipeV4 records.  3. Review each candidate manually and record false alarms and missed ships for the next training round.</w:t>
      </w:r>
    </w:p>
    <w:p>
      <w:pPr>
        <w:spacing w:before="80" w:after="20"/>
      </w:pPr>
      <w:r>
        <w:rPr>
          <w:b/>
          <w:color w:val="132C3A"/>
        </w:rPr>
        <w:t xml:space="preserve">Reference links  </w:t>
      </w:r>
      <w:hyperlink r:id="rId9">
        <w:r>
          <w:rPr>
            <w:color w:val="087E83"/>
            <w:u w:val="single"/>
          </w:rPr>
          <w:t>ESA Sentinel-2 resolution</w:t>
        </w:r>
      </w:hyperlink>
      <w:r>
        <w:t xml:space="preserve">   ·   </w:t>
      </w:r>
      <w:hyperlink r:id="rId10">
        <w:r>
          <w:rPr>
            <w:color w:val="087E83"/>
            <w:u w:val="single"/>
          </w:rPr>
          <w:t>xView benchmark</w:t>
        </w:r>
      </w:hyperlink>
      <w:r>
        <w:t xml:space="preserve">   ·   </w:t>
      </w:r>
      <w:hyperlink r:id="rId11">
        <w:r>
          <w:rPr>
            <w:color w:val="087E83"/>
            <w:u w:val="single"/>
          </w:rPr>
          <w:t>xView3 vessel dataset</w:t>
        </w:r>
      </w:hyperlink>
    </w:p>
    <w:p>
      <w:pPr>
        <w:spacing w:before="60" w:after="0"/>
      </w:pPr>
      <w:r>
        <w:rPr>
          <w:b/>
          <w:color w:val="93473D"/>
          <w:sz w:val="16"/>
        </w:rPr>
        <w:t xml:space="preserve">Scope note  </w:t>
      </w:r>
      <w:r>
        <w:rPr>
          <w:sz w:val="16"/>
        </w:rPr>
        <w:t>This is a classroom demonstration, not an operational surveillance or threat-classification system. Do not use its outputs as the sole basis for real-world decisions.</w:t>
      </w:r>
    </w:p>
    <w:sectPr w:rsidR="00FC693F" w:rsidRPr="0006063C" w:rsidSect="00034616">
      <w:footerReference w:type="default" r:id="rId12"/>
      <w:pgSz w:w="11909" w:h="16834"/>
      <w:pgMar w:top="835" w:right="979" w:bottom="806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2636E"/>
        <w:sz w:val="14"/>
      </w:rPr>
      <w:t>RAKSHAK  |  PROJECT HANDOUT  |  HACKATHON DEMO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7" w:lineRule="auto"/>
    </w:pPr>
    <w:rPr>
      <w:rFonts w:ascii="Arial" w:hAnsi="Arial"/>
      <w:color w:val="18252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288" w:hanging="187"/>
      <w:contextualSpacing/>
    </w:pPr>
    <w:rPr>
      <w:rFonts w:ascii="Arial" w:hAnsi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umentation.dataspace.copernicus.eu/Data/SentinelMissions/Sentinel2.html" TargetMode="External"/><Relationship Id="rId10" Type="http://schemas.openxmlformats.org/officeDocument/2006/relationships/hyperlink" Target="https://docs.ultralytics.com/datasets/detect/xview" TargetMode="External"/><Relationship Id="rId11" Type="http://schemas.openxmlformats.org/officeDocument/2006/relationships/hyperlink" Target="https://iuu.xview.us/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Rakshak Project Handout</dc:title>
  <dc:subject>Current hackathon demo capabilities, technology, accuracy, and data needs</dc:subject>
  <dc:creator>Rakshak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